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6F7FC7" w:rsidP="00E544B9">
      <w:pPr>
        <w:pStyle w:val="Title"/>
        <w:spacing w:before="240" w:after="360"/>
      </w:pPr>
      <w:bookmarkStart w:id="0" w:name="_GoBack"/>
      <w:bookmarkEnd w:id="0"/>
      <w:r>
        <w:t>PUC DOCKET NO. 42961</w:t>
      </w:r>
      <w:r w:rsidR="00967322">
        <w:br/>
        <w:t xml:space="preserve">SOAH DOCKET NO. </w:t>
      </w:r>
      <w:r>
        <w:t>473-15-0614</w:t>
      </w:r>
      <w:r w:rsidR="00C55EB5">
        <w:t>.WS</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6F7FC7" w:rsidRPr="0016188B" w:rsidRDefault="006F7FC7" w:rsidP="006F7FC7">
            <w:pPr>
              <w:rPr>
                <w:b/>
              </w:rPr>
            </w:pPr>
            <w:r w:rsidRPr="0016188B">
              <w:rPr>
                <w:b/>
              </w:rPr>
              <w:t xml:space="preserve">REQUEST </w:t>
            </w:r>
            <w:r>
              <w:rPr>
                <w:b/>
              </w:rPr>
              <w:t xml:space="preserve">OF GREENWOOD WATER CORPORATION </w:t>
            </w:r>
            <w:r w:rsidRPr="0016188B">
              <w:rPr>
                <w:b/>
              </w:rPr>
              <w:t>FOR APPROVAL OF WATER UTILITY STOCK TRANSFER</w:t>
            </w:r>
          </w:p>
          <w:p w:rsidR="00967322" w:rsidRDefault="006F7FC7" w:rsidP="006F7FC7">
            <w:pPr>
              <w:rPr>
                <w:b/>
              </w:rPr>
            </w:pPr>
            <w:r w:rsidRPr="0016188B">
              <w:rPr>
                <w:b/>
              </w:rPr>
              <w:t>CCN NO. 11792</w:t>
            </w:r>
          </w:p>
        </w:tc>
        <w:tc>
          <w:tcPr>
            <w:tcW w:w="360" w:type="dxa"/>
          </w:tcPr>
          <w:p w:rsidR="00967322" w:rsidRDefault="00967322">
            <w:pPr>
              <w:rPr>
                <w:b/>
              </w:rPr>
            </w:pPr>
            <w:r>
              <w:rPr>
                <w:b/>
              </w:rPr>
              <w:t>§</w:t>
            </w:r>
          </w:p>
          <w:p w:rsidR="00967322" w:rsidRDefault="00967322">
            <w:pPr>
              <w:rPr>
                <w:b/>
              </w:rPr>
            </w:pPr>
            <w:r>
              <w:rPr>
                <w:b/>
              </w:rPr>
              <w:t>§</w:t>
            </w:r>
          </w:p>
          <w:p w:rsidR="00967322" w:rsidRDefault="006F7FC7">
            <w:pPr>
              <w:rPr>
                <w:b/>
              </w:rPr>
            </w:pPr>
            <w:r>
              <w:rPr>
                <w:b/>
              </w:rPr>
              <w:t>§</w:t>
            </w:r>
            <w:r w:rsidR="00967322">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7322" w:rsidP="00830304">
      <w:pPr>
        <w:pStyle w:val="Title"/>
        <w:spacing w:after="240"/>
      </w:pPr>
      <w:r>
        <w:t>ORDER</w:t>
      </w:r>
    </w:p>
    <w:p w:rsidR="006F7FC7" w:rsidRDefault="006F7FC7" w:rsidP="00A21F89">
      <w:pPr>
        <w:spacing w:line="360" w:lineRule="auto"/>
        <w:ind w:left="72" w:right="72" w:firstLine="792"/>
        <w:jc w:val="both"/>
        <w:textAlignment w:val="baseline"/>
        <w:rPr>
          <w:snapToGrid/>
          <w:color w:val="000000"/>
          <w:szCs w:val="22"/>
        </w:rPr>
      </w:pPr>
      <w:r w:rsidRPr="006F7FC7">
        <w:rPr>
          <w:snapToGrid/>
          <w:color w:val="000000"/>
          <w:szCs w:val="22"/>
        </w:rPr>
        <w:t xml:space="preserve">This Order addresses the application by Greenwood Water Corporation (Greenwood) for approval </w:t>
      </w:r>
      <w:r w:rsidR="00A21F89">
        <w:rPr>
          <w:snapToGrid/>
          <w:color w:val="000000"/>
          <w:szCs w:val="22"/>
        </w:rPr>
        <w:t>to</w:t>
      </w:r>
      <w:r w:rsidRPr="006F7FC7">
        <w:rPr>
          <w:snapToGrid/>
          <w:color w:val="000000"/>
          <w:szCs w:val="22"/>
        </w:rPr>
        <w:t xml:space="preserve"> transfer 100% of the stock and ownership interest in Greenwood from Mr. Paul R. Wilhite to Permian Basin Water Resources, LLC (Permian). </w:t>
      </w:r>
      <w:r w:rsidR="00A21F89">
        <w:rPr>
          <w:snapToGrid/>
          <w:color w:val="000000"/>
          <w:szCs w:val="22"/>
        </w:rPr>
        <w:t xml:space="preserve"> A </w:t>
      </w:r>
      <w:r w:rsidR="00BB0B58">
        <w:rPr>
          <w:snapToGrid/>
          <w:color w:val="000000"/>
          <w:szCs w:val="22"/>
        </w:rPr>
        <w:t>u</w:t>
      </w:r>
      <w:r w:rsidRPr="006F7FC7">
        <w:rPr>
          <w:snapToGrid/>
          <w:color w:val="000000"/>
          <w:szCs w:val="22"/>
        </w:rPr>
        <w:t xml:space="preserve">nanimous </w:t>
      </w:r>
      <w:r w:rsidR="00BB0B58">
        <w:rPr>
          <w:snapToGrid/>
          <w:color w:val="000000"/>
          <w:szCs w:val="22"/>
        </w:rPr>
        <w:t>s</w:t>
      </w:r>
      <w:r w:rsidRPr="006F7FC7">
        <w:rPr>
          <w:snapToGrid/>
          <w:color w:val="000000"/>
          <w:szCs w:val="22"/>
        </w:rPr>
        <w:t xml:space="preserve">tipulation (Stipulation) </w:t>
      </w:r>
      <w:r w:rsidR="00A21F89">
        <w:rPr>
          <w:snapToGrid/>
          <w:color w:val="000000"/>
          <w:szCs w:val="22"/>
        </w:rPr>
        <w:t xml:space="preserve">was entered which resolves all of the issues in this proceeding.  </w:t>
      </w:r>
      <w:r w:rsidR="00305FC2">
        <w:rPr>
          <w:snapToGrid/>
          <w:color w:val="000000"/>
          <w:szCs w:val="22"/>
        </w:rPr>
        <w:t>C</w:t>
      </w:r>
      <w:r w:rsidR="00305FC2" w:rsidRPr="006F7FC7">
        <w:rPr>
          <w:snapToGrid/>
          <w:color w:val="000000"/>
          <w:szCs w:val="22"/>
        </w:rPr>
        <w:t>onsistent with the Stipulation</w:t>
      </w:r>
      <w:r w:rsidR="00BD5196">
        <w:rPr>
          <w:snapToGrid/>
          <w:color w:val="000000"/>
          <w:szCs w:val="22"/>
        </w:rPr>
        <w:t>,</w:t>
      </w:r>
      <w:r w:rsidR="00305FC2">
        <w:rPr>
          <w:snapToGrid/>
          <w:color w:val="000000"/>
          <w:szCs w:val="22"/>
        </w:rPr>
        <w:t xml:space="preserve"> as modified by this Order,</w:t>
      </w:r>
      <w:r w:rsidR="00305FC2" w:rsidRPr="006F7FC7">
        <w:rPr>
          <w:snapToGrid/>
          <w:color w:val="000000"/>
          <w:szCs w:val="22"/>
        </w:rPr>
        <w:t xml:space="preserve"> </w:t>
      </w:r>
      <w:r w:rsidRPr="006F7FC7">
        <w:rPr>
          <w:snapToGrid/>
          <w:color w:val="000000"/>
          <w:szCs w:val="22"/>
        </w:rPr>
        <w:t>Greenwood</w:t>
      </w:r>
      <w:r w:rsidR="00A21F89">
        <w:rPr>
          <w:snapToGrid/>
          <w:color w:val="000000"/>
          <w:szCs w:val="22"/>
        </w:rPr>
        <w:t>’</w:t>
      </w:r>
      <w:r w:rsidRPr="006F7FC7">
        <w:rPr>
          <w:snapToGrid/>
          <w:color w:val="000000"/>
          <w:szCs w:val="22"/>
        </w:rPr>
        <w:t>s application is approved.</w:t>
      </w:r>
    </w:p>
    <w:p w:rsidR="00BB0B58" w:rsidRPr="006F7FC7" w:rsidRDefault="00A915E5" w:rsidP="00A21F89">
      <w:pPr>
        <w:spacing w:line="360" w:lineRule="auto"/>
        <w:ind w:left="72" w:right="72" w:firstLine="792"/>
        <w:jc w:val="both"/>
        <w:textAlignment w:val="baseline"/>
        <w:rPr>
          <w:snapToGrid/>
          <w:color w:val="000000"/>
          <w:szCs w:val="22"/>
        </w:rPr>
      </w:pPr>
      <w:r>
        <w:rPr>
          <w:snapToGrid/>
          <w:color w:val="000000"/>
          <w:szCs w:val="22"/>
        </w:rPr>
        <w:t>At an open meeting on</w:t>
      </w:r>
      <w:r w:rsidR="00BB0B58">
        <w:rPr>
          <w:snapToGrid/>
          <w:color w:val="000000"/>
          <w:szCs w:val="22"/>
        </w:rPr>
        <w:t xml:space="preserve"> June 18, 2015, the Commission voted to adopt the proposed order with two additional ordering paragraphs that are ordering paragraphs 4 and 5 below.</w:t>
      </w:r>
    </w:p>
    <w:p w:rsidR="006F7FC7" w:rsidRPr="006F7FC7" w:rsidRDefault="006F7FC7" w:rsidP="00A21F89">
      <w:pPr>
        <w:spacing w:before="120" w:line="360" w:lineRule="auto"/>
        <w:ind w:left="72" w:right="72" w:firstLine="792"/>
        <w:jc w:val="both"/>
        <w:textAlignment w:val="baseline"/>
        <w:rPr>
          <w:snapToGrid/>
          <w:color w:val="000000"/>
          <w:szCs w:val="22"/>
        </w:rPr>
      </w:pPr>
      <w:r w:rsidRPr="006F7FC7">
        <w:rPr>
          <w:snapToGrid/>
          <w:color w:val="000000"/>
          <w:szCs w:val="22"/>
        </w:rPr>
        <w:t>The Public Utility Commission of Texas (Commission) adopts the following findings of fact and conclusions of law:</w:t>
      </w:r>
    </w:p>
    <w:p w:rsidR="006F7FC7" w:rsidRPr="006F7FC7" w:rsidRDefault="00A21F89" w:rsidP="00830304">
      <w:pPr>
        <w:pStyle w:val="Heading1"/>
        <w:spacing w:before="360"/>
        <w:rPr>
          <w:snapToGrid/>
        </w:rPr>
      </w:pPr>
      <w:r>
        <w:rPr>
          <w:snapToGrid/>
        </w:rPr>
        <w:t xml:space="preserve"> F</w:t>
      </w:r>
      <w:r w:rsidR="006F7FC7" w:rsidRPr="006F7FC7">
        <w:rPr>
          <w:snapToGrid/>
        </w:rPr>
        <w:t>indings of Fact</w:t>
      </w:r>
    </w:p>
    <w:p w:rsidR="006F7FC7" w:rsidRPr="006F7FC7" w:rsidRDefault="006F7FC7" w:rsidP="00A21F89">
      <w:pPr>
        <w:pStyle w:val="Heading6"/>
        <w:rPr>
          <w:snapToGrid/>
        </w:rPr>
      </w:pPr>
      <w:r w:rsidRPr="006F7FC7">
        <w:rPr>
          <w:snapToGrid/>
        </w:rPr>
        <w:t>Procedural History</w:t>
      </w:r>
    </w:p>
    <w:p w:rsidR="006F7FC7" w:rsidRPr="00A21F89" w:rsidRDefault="006F7FC7" w:rsidP="00A21F89">
      <w:pPr>
        <w:pStyle w:val="FOFNumbered"/>
      </w:pPr>
      <w:r w:rsidRPr="00A21F89">
        <w:t xml:space="preserve">On August 20, 2014, Greenwood and Permian filed with the Texas Commission on Environmental Quality (TCEQ) an application for approval </w:t>
      </w:r>
      <w:r w:rsidR="00A21F89">
        <w:t>to</w:t>
      </w:r>
      <w:r w:rsidRPr="00A21F89">
        <w:t xml:space="preserve"> transfer 100% of the stock and ownership interest in Greenwood from Mr. Paul R. Wilhite to Permian.</w:t>
      </w:r>
    </w:p>
    <w:p w:rsidR="006F7FC7" w:rsidRPr="00A21F89" w:rsidRDefault="00A21F89" w:rsidP="00A21F89">
      <w:pPr>
        <w:pStyle w:val="FOFNumbered"/>
      </w:pPr>
      <w:r>
        <w:t>Greenwood is an investor-</w:t>
      </w:r>
      <w:r w:rsidR="006F7FC7" w:rsidRPr="00A21F89">
        <w:t xml:space="preserve">owned water utility holding Certificate of Convenience and Necessity </w:t>
      </w:r>
      <w:r>
        <w:t xml:space="preserve">(CCN) </w:t>
      </w:r>
      <w:r w:rsidR="006F7FC7" w:rsidRPr="00A21F89">
        <w:t>No. 11792</w:t>
      </w:r>
      <w:r>
        <w:t xml:space="preserve"> and provides </w:t>
      </w:r>
      <w:r w:rsidR="006F7FC7" w:rsidRPr="00A21F89">
        <w:t>retail water service in Midland County to approximately 289 metered connections.</w:t>
      </w:r>
    </w:p>
    <w:p w:rsidR="006F7FC7" w:rsidRPr="00A21F89" w:rsidRDefault="006F7FC7" w:rsidP="00A21F89">
      <w:pPr>
        <w:pStyle w:val="FOFNumbered"/>
      </w:pPr>
      <w:r w:rsidRPr="00A21F89">
        <w:t>On September 1, 2014, jurisdiction over this proceeding transferred to the Commission.</w:t>
      </w:r>
    </w:p>
    <w:p w:rsidR="006F7FC7" w:rsidRPr="00A21F89" w:rsidRDefault="006F7FC7" w:rsidP="00A21F89">
      <w:pPr>
        <w:pStyle w:val="FOFNumbered"/>
      </w:pPr>
      <w:r w:rsidRPr="00A21F89">
        <w:t>On October 1, 2014, Commission Staff requested a hearing.</w:t>
      </w:r>
    </w:p>
    <w:p w:rsidR="006F7FC7" w:rsidRPr="006F7FC7" w:rsidRDefault="006F7FC7" w:rsidP="00A21F89">
      <w:pPr>
        <w:pStyle w:val="FOFNumbered"/>
        <w:rPr>
          <w:snapToGrid/>
        </w:rPr>
      </w:pPr>
      <w:r w:rsidRPr="00A21F89">
        <w:t>On October 6, 2014, the Commission referred this proceeding to the State Office of</w:t>
      </w:r>
      <w:r w:rsidRPr="006F7FC7">
        <w:rPr>
          <w:snapToGrid/>
        </w:rPr>
        <w:t xml:space="preserve"> Administrative Hearings (SOAH) for processing.</w:t>
      </w:r>
    </w:p>
    <w:p w:rsidR="006F7FC7" w:rsidRPr="006F7FC7" w:rsidRDefault="006F7FC7" w:rsidP="00A21F89">
      <w:pPr>
        <w:pStyle w:val="FOFNumbered"/>
        <w:rPr>
          <w:snapToGrid/>
        </w:rPr>
      </w:pPr>
      <w:r w:rsidRPr="006F7FC7">
        <w:rPr>
          <w:snapToGrid/>
        </w:rPr>
        <w:lastRenderedPageBreak/>
        <w:t xml:space="preserve">On October 27, 2014, the </w:t>
      </w:r>
      <w:r w:rsidR="00A21F89">
        <w:rPr>
          <w:snapToGrid/>
        </w:rPr>
        <w:t xml:space="preserve">SOAH </w:t>
      </w:r>
      <w:r w:rsidR="00B777D8">
        <w:rPr>
          <w:snapToGrid/>
        </w:rPr>
        <w:t>a</w:t>
      </w:r>
      <w:r w:rsidRPr="006F7FC7">
        <w:rPr>
          <w:snapToGrid/>
        </w:rPr>
        <w:t xml:space="preserve">dministrative </w:t>
      </w:r>
      <w:r w:rsidR="00B777D8">
        <w:rPr>
          <w:snapToGrid/>
        </w:rPr>
        <w:t>l</w:t>
      </w:r>
      <w:r w:rsidRPr="006F7FC7">
        <w:rPr>
          <w:snapToGrid/>
        </w:rPr>
        <w:t xml:space="preserve">aw </w:t>
      </w:r>
      <w:r w:rsidR="00B777D8">
        <w:rPr>
          <w:snapToGrid/>
        </w:rPr>
        <w:t>j</w:t>
      </w:r>
      <w:r w:rsidRPr="006F7FC7">
        <w:rPr>
          <w:snapToGrid/>
        </w:rPr>
        <w:t xml:space="preserve">udge (ALJ) held a prehearing conference. </w:t>
      </w:r>
      <w:r w:rsidR="00A21F89">
        <w:rPr>
          <w:snapToGrid/>
        </w:rPr>
        <w:t xml:space="preserve"> </w:t>
      </w:r>
      <w:r w:rsidRPr="006F7FC7">
        <w:rPr>
          <w:snapToGrid/>
        </w:rPr>
        <w:t xml:space="preserve">Greenwood, Permian, and </w:t>
      </w:r>
      <w:r w:rsidR="00A21F89">
        <w:rPr>
          <w:snapToGrid/>
        </w:rPr>
        <w:t xml:space="preserve">Commission </w:t>
      </w:r>
      <w:r w:rsidRPr="006F7FC7">
        <w:rPr>
          <w:snapToGrid/>
        </w:rPr>
        <w:t>Staff participated in the prehearing conference.</w:t>
      </w:r>
    </w:p>
    <w:p w:rsidR="006F7FC7" w:rsidRPr="006F7FC7" w:rsidRDefault="006F7FC7" w:rsidP="00A21F89">
      <w:pPr>
        <w:pStyle w:val="FOFNumbered"/>
        <w:rPr>
          <w:snapToGrid/>
        </w:rPr>
      </w:pPr>
      <w:r w:rsidRPr="006F7FC7">
        <w:rPr>
          <w:snapToGrid/>
        </w:rPr>
        <w:t xml:space="preserve">On October </w:t>
      </w:r>
      <w:r w:rsidR="00CD656F">
        <w:rPr>
          <w:snapToGrid/>
        </w:rPr>
        <w:t>30</w:t>
      </w:r>
      <w:r w:rsidRPr="006F7FC7">
        <w:rPr>
          <w:snapToGrid/>
        </w:rPr>
        <w:t>, 2014, SOAH Order No. 1</w:t>
      </w:r>
      <w:r w:rsidR="00830304">
        <w:rPr>
          <w:snapToGrid/>
        </w:rPr>
        <w:t xml:space="preserve"> was filed</w:t>
      </w:r>
      <w:r w:rsidRPr="006F7FC7">
        <w:rPr>
          <w:snapToGrid/>
        </w:rPr>
        <w:t xml:space="preserve"> setting a procedural schedule for this </w:t>
      </w:r>
      <w:r w:rsidR="00830304">
        <w:rPr>
          <w:snapToGrid/>
        </w:rPr>
        <w:t>docket</w:t>
      </w:r>
      <w:r w:rsidRPr="006F7FC7">
        <w:rPr>
          <w:snapToGrid/>
        </w:rPr>
        <w:t>.</w:t>
      </w:r>
    </w:p>
    <w:p w:rsidR="006F7FC7" w:rsidRPr="006F7FC7" w:rsidRDefault="006F7FC7" w:rsidP="00A21F89">
      <w:pPr>
        <w:pStyle w:val="FOFNumbered"/>
        <w:rPr>
          <w:snapToGrid/>
        </w:rPr>
      </w:pPr>
      <w:r w:rsidRPr="006F7FC7">
        <w:rPr>
          <w:snapToGrid/>
        </w:rPr>
        <w:t>On October 21, 2014, and November 6, 2014, Greenwood filed first and second supplements to the application for approval of the proposed stock transfer.</w:t>
      </w:r>
    </w:p>
    <w:p w:rsidR="006F7FC7" w:rsidRPr="006F7FC7" w:rsidRDefault="006F7FC7" w:rsidP="00A21F89">
      <w:pPr>
        <w:pStyle w:val="FOFNumbered"/>
        <w:rPr>
          <w:snapToGrid/>
        </w:rPr>
      </w:pPr>
      <w:r w:rsidRPr="006F7FC7">
        <w:rPr>
          <w:snapToGrid/>
        </w:rPr>
        <w:t xml:space="preserve">On November 6, 2014, Greenwood filed an affidavit verifying that notice of the requested approval of the proposed stock transfer was provided to each of its customers by first class mail, postage prepaid, on or before October 31, 2014. </w:t>
      </w:r>
      <w:r w:rsidR="00A21F89">
        <w:rPr>
          <w:snapToGrid/>
        </w:rPr>
        <w:t xml:space="preserve"> </w:t>
      </w:r>
      <w:r w:rsidRPr="006F7FC7">
        <w:rPr>
          <w:snapToGrid/>
        </w:rPr>
        <w:t xml:space="preserve">No comments or requests to intervene in this </w:t>
      </w:r>
      <w:r w:rsidR="00A21F89">
        <w:rPr>
          <w:snapToGrid/>
        </w:rPr>
        <w:t>proceeding</w:t>
      </w:r>
      <w:r w:rsidRPr="006F7FC7">
        <w:rPr>
          <w:snapToGrid/>
        </w:rPr>
        <w:t xml:space="preserve"> were filed by any customers of Greenwood.</w:t>
      </w:r>
    </w:p>
    <w:p w:rsidR="006F7FC7" w:rsidRPr="006F7FC7" w:rsidRDefault="006F7FC7" w:rsidP="00A21F89">
      <w:pPr>
        <w:pStyle w:val="FOFNumbered"/>
        <w:rPr>
          <w:snapToGrid/>
        </w:rPr>
      </w:pPr>
      <w:r w:rsidRPr="006F7FC7">
        <w:rPr>
          <w:snapToGrid/>
        </w:rPr>
        <w:t xml:space="preserve">On November 14, 2014, the Commission approved </w:t>
      </w:r>
      <w:r w:rsidR="00A21F89">
        <w:rPr>
          <w:snapToGrid/>
        </w:rPr>
        <w:t xml:space="preserve">the Preliminary Order </w:t>
      </w:r>
      <w:r w:rsidRPr="006F7FC7">
        <w:rPr>
          <w:snapToGrid/>
        </w:rPr>
        <w:t>for this proceeding.</w:t>
      </w:r>
    </w:p>
    <w:p w:rsidR="006F7FC7" w:rsidRPr="006F7FC7" w:rsidRDefault="006F7FC7" w:rsidP="00A21F89">
      <w:pPr>
        <w:pStyle w:val="FOFNumbered"/>
        <w:rPr>
          <w:snapToGrid/>
        </w:rPr>
      </w:pPr>
      <w:r w:rsidRPr="006F7FC7">
        <w:rPr>
          <w:snapToGrid/>
        </w:rPr>
        <w:t xml:space="preserve">TCEQ identified reporting and approval issues </w:t>
      </w:r>
      <w:r w:rsidR="00F007BD">
        <w:rPr>
          <w:snapToGrid/>
        </w:rPr>
        <w:t>regarding</w:t>
      </w:r>
      <w:r w:rsidRPr="006F7FC7">
        <w:rPr>
          <w:snapToGrid/>
        </w:rPr>
        <w:t xml:space="preserve"> two water wells and associated reverse osmosis treatment systems (New Wells A and B). </w:t>
      </w:r>
      <w:r w:rsidR="00F007BD">
        <w:rPr>
          <w:snapToGrid/>
        </w:rPr>
        <w:t xml:space="preserve"> </w:t>
      </w:r>
      <w:r w:rsidRPr="006F7FC7">
        <w:rPr>
          <w:snapToGrid/>
        </w:rPr>
        <w:t>The letter from TCEQ described actions</w:t>
      </w:r>
      <w:r w:rsidR="00C55EB5">
        <w:rPr>
          <w:snapToGrid/>
        </w:rPr>
        <w:t xml:space="preserve"> needed to resolve these issues and achieve compliance with TCEQ’s Chapter 290 Rules and Regulations for Public Water Systems.</w:t>
      </w:r>
    </w:p>
    <w:p w:rsidR="006F7FC7" w:rsidRPr="006F7FC7" w:rsidRDefault="006F7FC7" w:rsidP="00A21F89">
      <w:pPr>
        <w:pStyle w:val="FOFNumbered"/>
        <w:rPr>
          <w:snapToGrid/>
        </w:rPr>
      </w:pPr>
      <w:r w:rsidRPr="006F7FC7">
        <w:rPr>
          <w:snapToGrid/>
        </w:rPr>
        <w:t>On</w:t>
      </w:r>
      <w:r w:rsidR="00F007BD">
        <w:rPr>
          <w:snapToGrid/>
        </w:rPr>
        <w:t xml:space="preserve"> March 26</w:t>
      </w:r>
      <w:r w:rsidRPr="006F7FC7">
        <w:rPr>
          <w:snapToGrid/>
        </w:rPr>
        <w:t xml:space="preserve">, 2015, </w:t>
      </w:r>
      <w:r w:rsidR="00EC5B7E">
        <w:rPr>
          <w:snapToGrid/>
        </w:rPr>
        <w:t>Greenwood</w:t>
      </w:r>
      <w:r w:rsidR="00F007BD">
        <w:rPr>
          <w:snapToGrid/>
          <w:color w:val="000000"/>
          <w:szCs w:val="22"/>
        </w:rPr>
        <w:t xml:space="preserve">, </w:t>
      </w:r>
      <w:r w:rsidR="00F007BD" w:rsidRPr="006F7FC7">
        <w:rPr>
          <w:snapToGrid/>
          <w:color w:val="000000"/>
          <w:szCs w:val="22"/>
        </w:rPr>
        <w:t>Permian</w:t>
      </w:r>
      <w:r w:rsidR="00F007BD">
        <w:rPr>
          <w:snapToGrid/>
          <w:color w:val="000000"/>
          <w:szCs w:val="22"/>
        </w:rPr>
        <w:t xml:space="preserve">, and Commission Staff (collectively, </w:t>
      </w:r>
      <w:r w:rsidRPr="006F7FC7">
        <w:rPr>
          <w:snapToGrid/>
        </w:rPr>
        <w:t>Signatories</w:t>
      </w:r>
      <w:r w:rsidR="00F007BD">
        <w:rPr>
          <w:snapToGrid/>
        </w:rPr>
        <w:t>)</w:t>
      </w:r>
      <w:r w:rsidRPr="006F7FC7">
        <w:rPr>
          <w:snapToGrid/>
        </w:rPr>
        <w:t xml:space="preserve"> filed a </w:t>
      </w:r>
      <w:r w:rsidR="00F007BD" w:rsidRPr="006F7FC7">
        <w:rPr>
          <w:snapToGrid/>
        </w:rPr>
        <w:t xml:space="preserve">joint </w:t>
      </w:r>
      <w:r w:rsidR="00B10E6E">
        <w:rPr>
          <w:snapToGrid/>
        </w:rPr>
        <w:t>motion to approve Stipulation</w:t>
      </w:r>
      <w:r w:rsidR="00830304">
        <w:rPr>
          <w:snapToGrid/>
        </w:rPr>
        <w:t xml:space="preserve"> and a joint motion to</w:t>
      </w:r>
      <w:r w:rsidR="00B10E6E">
        <w:rPr>
          <w:snapToGrid/>
        </w:rPr>
        <w:t xml:space="preserve"> </w:t>
      </w:r>
      <w:r w:rsidR="00F007BD" w:rsidRPr="006F7FC7">
        <w:rPr>
          <w:snapToGrid/>
        </w:rPr>
        <w:t xml:space="preserve">admit evidence and remand the proceeding to the </w:t>
      </w:r>
      <w:r w:rsidRPr="006F7FC7">
        <w:rPr>
          <w:snapToGrid/>
        </w:rPr>
        <w:t>Commission.</w:t>
      </w:r>
    </w:p>
    <w:p w:rsidR="006F7FC7" w:rsidRPr="006F7FC7" w:rsidRDefault="006F7FC7" w:rsidP="00A21F89">
      <w:pPr>
        <w:pStyle w:val="FOFNumbered"/>
        <w:rPr>
          <w:snapToGrid/>
        </w:rPr>
      </w:pPr>
      <w:r w:rsidRPr="006F7FC7">
        <w:rPr>
          <w:snapToGrid/>
        </w:rPr>
        <w:t xml:space="preserve">On </w:t>
      </w:r>
      <w:r w:rsidR="00C74346">
        <w:rPr>
          <w:snapToGrid/>
        </w:rPr>
        <w:t>April 3</w:t>
      </w:r>
      <w:r w:rsidRPr="006F7FC7">
        <w:rPr>
          <w:snapToGrid/>
        </w:rPr>
        <w:t xml:space="preserve">, 2015, the </w:t>
      </w:r>
      <w:r w:rsidR="00F007BD">
        <w:rPr>
          <w:snapToGrid/>
        </w:rPr>
        <w:t xml:space="preserve">SOAH </w:t>
      </w:r>
      <w:r w:rsidRPr="006F7FC7">
        <w:rPr>
          <w:snapToGrid/>
        </w:rPr>
        <w:t xml:space="preserve">ALJ </w:t>
      </w:r>
      <w:r w:rsidR="00F007BD">
        <w:rPr>
          <w:snapToGrid/>
        </w:rPr>
        <w:t xml:space="preserve">issued SOAH Order No. </w:t>
      </w:r>
      <w:r w:rsidR="00C74346">
        <w:rPr>
          <w:snapToGrid/>
        </w:rPr>
        <w:t>5,</w:t>
      </w:r>
      <w:r w:rsidR="00F007BD">
        <w:rPr>
          <w:snapToGrid/>
        </w:rPr>
        <w:t xml:space="preserve"> admitting evidence, returning this proceeding to the Commission, and dismissing the SOAH docket.  </w:t>
      </w:r>
      <w:r w:rsidRPr="006F7FC7">
        <w:rPr>
          <w:snapToGrid/>
        </w:rPr>
        <w:t>The following evidence was admitted in</w:t>
      </w:r>
      <w:r w:rsidR="00A21F89">
        <w:rPr>
          <w:snapToGrid/>
        </w:rPr>
        <w:t xml:space="preserve">to the record in support of the </w:t>
      </w:r>
      <w:r w:rsidR="00F007BD">
        <w:rPr>
          <w:snapToGrid/>
        </w:rPr>
        <w:t>Stipulation</w:t>
      </w:r>
      <w:r w:rsidRPr="006F7FC7">
        <w:rPr>
          <w:snapToGrid/>
        </w:rPr>
        <w:t>:</w:t>
      </w:r>
    </w:p>
    <w:p w:rsidR="00F007BD" w:rsidRDefault="00F007BD" w:rsidP="00C74346">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Request for approval of the application, filed on September 8, 2014;</w:t>
      </w:r>
    </w:p>
    <w:p w:rsidR="006F7FC7" w:rsidRDefault="006F7FC7" w:rsidP="0086755D">
      <w:pPr>
        <w:numPr>
          <w:ilvl w:val="0"/>
          <w:numId w:val="27"/>
        </w:numPr>
        <w:tabs>
          <w:tab w:val="left" w:pos="720"/>
        </w:tabs>
        <w:spacing w:line="360" w:lineRule="auto"/>
        <w:ind w:right="72" w:hanging="720"/>
        <w:textAlignment w:val="baseline"/>
        <w:rPr>
          <w:snapToGrid/>
          <w:color w:val="000000"/>
          <w:szCs w:val="22"/>
        </w:rPr>
      </w:pPr>
      <w:r w:rsidRPr="006F7FC7">
        <w:rPr>
          <w:snapToGrid/>
          <w:color w:val="000000"/>
          <w:szCs w:val="22"/>
        </w:rPr>
        <w:t>Greenwood</w:t>
      </w:r>
      <w:r w:rsidR="00F007BD">
        <w:rPr>
          <w:snapToGrid/>
          <w:color w:val="000000"/>
          <w:szCs w:val="22"/>
        </w:rPr>
        <w:t>’s</w:t>
      </w:r>
      <w:r w:rsidRPr="006F7FC7">
        <w:rPr>
          <w:snapToGrid/>
          <w:color w:val="000000"/>
          <w:szCs w:val="22"/>
        </w:rPr>
        <w:t xml:space="preserve"> </w:t>
      </w:r>
      <w:r w:rsidR="00F007BD">
        <w:rPr>
          <w:snapToGrid/>
          <w:color w:val="000000"/>
          <w:szCs w:val="22"/>
        </w:rPr>
        <w:t xml:space="preserve">first supplement to the application, </w:t>
      </w:r>
      <w:r w:rsidRPr="006F7FC7">
        <w:rPr>
          <w:snapToGrid/>
          <w:color w:val="000000"/>
          <w:szCs w:val="22"/>
        </w:rPr>
        <w:t>filed on October 21,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second supplement to the application, filed on November 6,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third supplement to the application, filed on December 2,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proof of notice, filed on November 6,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Stipulation and all attachments thereto, filed on March 26, 2015; and</w:t>
      </w:r>
    </w:p>
    <w:p w:rsidR="00C74346" w:rsidRPr="006F7FC7" w:rsidRDefault="00C74346" w:rsidP="00E544B9">
      <w:pPr>
        <w:numPr>
          <w:ilvl w:val="0"/>
          <w:numId w:val="27"/>
        </w:numPr>
        <w:tabs>
          <w:tab w:val="left" w:pos="720"/>
        </w:tabs>
        <w:spacing w:line="360" w:lineRule="auto"/>
        <w:ind w:right="72" w:hanging="720"/>
        <w:jc w:val="both"/>
        <w:textAlignment w:val="baseline"/>
        <w:rPr>
          <w:snapToGrid/>
          <w:color w:val="000000"/>
          <w:szCs w:val="22"/>
        </w:rPr>
      </w:pPr>
      <w:r>
        <w:rPr>
          <w:snapToGrid/>
          <w:color w:val="000000"/>
          <w:szCs w:val="22"/>
        </w:rPr>
        <w:lastRenderedPageBreak/>
        <w:t>Commission Staff memorandum in support of the Stipulation</w:t>
      </w:r>
      <w:r w:rsidR="00B10E6E">
        <w:rPr>
          <w:snapToGrid/>
          <w:color w:val="000000"/>
          <w:szCs w:val="22"/>
        </w:rPr>
        <w:t>, filed on March 26, 2015</w:t>
      </w:r>
      <w:r w:rsidR="00830304">
        <w:rPr>
          <w:snapToGrid/>
          <w:color w:val="000000"/>
          <w:szCs w:val="22"/>
        </w:rPr>
        <w:t>.</w:t>
      </w:r>
    </w:p>
    <w:p w:rsidR="006F7FC7" w:rsidRPr="006F7FC7" w:rsidRDefault="006F7FC7" w:rsidP="00EC5B7E">
      <w:pPr>
        <w:pStyle w:val="Heading6"/>
        <w:rPr>
          <w:snapToGrid/>
        </w:rPr>
      </w:pPr>
      <w:r w:rsidRPr="006F7FC7">
        <w:rPr>
          <w:snapToGrid/>
        </w:rPr>
        <w:t xml:space="preserve">Description of the Stipulation </w:t>
      </w:r>
    </w:p>
    <w:p w:rsidR="006F7FC7" w:rsidRPr="006F7FC7" w:rsidRDefault="006F7FC7" w:rsidP="00EC5B7E">
      <w:pPr>
        <w:pStyle w:val="FOFNumbered"/>
        <w:rPr>
          <w:snapToGrid/>
        </w:rPr>
      </w:pPr>
      <w:r w:rsidRPr="006F7FC7">
        <w:rPr>
          <w:snapToGrid/>
        </w:rPr>
        <w:t xml:space="preserve">The Signatories </w:t>
      </w:r>
      <w:r w:rsidR="00EC5B7E">
        <w:rPr>
          <w:snapToGrid/>
        </w:rPr>
        <w:t>agreed</w:t>
      </w:r>
      <w:r w:rsidRPr="006F7FC7">
        <w:rPr>
          <w:snapToGrid/>
        </w:rPr>
        <w:t xml:space="preserve"> that adequate and reasonable notice has been provided to affected persons consistent with </w:t>
      </w:r>
      <w:r w:rsidR="00703C11">
        <w:rPr>
          <w:snapToGrid/>
        </w:rPr>
        <w:t xml:space="preserve">16 Tex. Admin. Code </w:t>
      </w:r>
      <w:r w:rsidR="00703C11" w:rsidRPr="006F7FC7">
        <w:rPr>
          <w:snapToGrid/>
          <w:spacing w:val="-8"/>
        </w:rPr>
        <w:t xml:space="preserve">§ </w:t>
      </w:r>
      <w:r w:rsidRPr="006F7FC7">
        <w:rPr>
          <w:snapToGrid/>
        </w:rPr>
        <w:t>22.55</w:t>
      </w:r>
      <w:r w:rsidR="00703C11">
        <w:rPr>
          <w:snapToGrid/>
        </w:rPr>
        <w:t xml:space="preserve"> (TAC)</w:t>
      </w:r>
      <w:r w:rsidRPr="006F7FC7">
        <w:rPr>
          <w:snapToGrid/>
        </w:rPr>
        <w:t>.</w:t>
      </w:r>
    </w:p>
    <w:p w:rsidR="006F7FC7" w:rsidRPr="006F7FC7" w:rsidRDefault="006F7FC7" w:rsidP="00EC5B7E">
      <w:pPr>
        <w:pStyle w:val="FOFNumbered"/>
        <w:rPr>
          <w:snapToGrid/>
        </w:rPr>
      </w:pPr>
      <w:r w:rsidRPr="006F7FC7">
        <w:rPr>
          <w:snapToGrid/>
        </w:rPr>
        <w:t xml:space="preserve">The Signatories </w:t>
      </w:r>
      <w:r w:rsidR="00EC5B7E">
        <w:rPr>
          <w:snapToGrid/>
        </w:rPr>
        <w:t>agreed that the transfer of Greenwood’</w:t>
      </w:r>
      <w:r w:rsidRPr="006F7FC7">
        <w:rPr>
          <w:snapToGrid/>
        </w:rPr>
        <w:t>s stock may be completed only after the date that a final order of approval is entered in this proceeding.</w:t>
      </w:r>
    </w:p>
    <w:p w:rsidR="006F7FC7" w:rsidRPr="006F7FC7" w:rsidRDefault="006F7FC7" w:rsidP="00EC5B7E">
      <w:pPr>
        <w:pStyle w:val="FOFNumbered"/>
        <w:rPr>
          <w:snapToGrid/>
        </w:rPr>
      </w:pPr>
      <w:r w:rsidRPr="006F7FC7">
        <w:rPr>
          <w:snapToGrid/>
        </w:rPr>
        <w:t xml:space="preserve">The Signatories </w:t>
      </w:r>
      <w:r w:rsidR="0086755D">
        <w:rPr>
          <w:snapToGrid/>
        </w:rPr>
        <w:t>agreed</w:t>
      </w:r>
      <w:r w:rsidRPr="006F7FC7">
        <w:rPr>
          <w:snapToGrid/>
        </w:rPr>
        <w:t xml:space="preserve"> that Greenwood generates sufficient revenues for independent operation without the need for financial </w:t>
      </w:r>
      <w:r w:rsidR="0086755D" w:rsidRPr="006F7FC7">
        <w:rPr>
          <w:snapToGrid/>
        </w:rPr>
        <w:t>Assurant</w:t>
      </w:r>
      <w:r w:rsidRPr="006F7FC7">
        <w:rPr>
          <w:snapToGrid/>
        </w:rPr>
        <w:t xml:space="preserve"> to ensure continuous and adequate water utility service.</w:t>
      </w:r>
    </w:p>
    <w:p w:rsidR="006F7FC7" w:rsidRPr="006F7FC7" w:rsidRDefault="006F7FC7" w:rsidP="00EC5B7E">
      <w:pPr>
        <w:pStyle w:val="FOFNumbered"/>
        <w:rPr>
          <w:snapToGrid/>
        </w:rPr>
      </w:pPr>
      <w:r w:rsidRPr="006F7FC7">
        <w:rPr>
          <w:snapToGrid/>
        </w:rPr>
        <w:t xml:space="preserve">The Signatories </w:t>
      </w:r>
      <w:r w:rsidR="0086755D">
        <w:rPr>
          <w:snapToGrid/>
        </w:rPr>
        <w:t>agreed</w:t>
      </w:r>
      <w:r w:rsidRPr="006F7FC7">
        <w:rPr>
          <w:snapToGrid/>
        </w:rPr>
        <w:t xml:space="preserve"> that Permian will provide an affidavit of a professional engineer attesting that no construction costs are necessary to complete the remediation of the reporting and approval issues identified by TCEQ. </w:t>
      </w:r>
      <w:r w:rsidR="0086755D">
        <w:rPr>
          <w:snapToGrid/>
        </w:rPr>
        <w:t xml:space="preserve"> </w:t>
      </w:r>
      <w:r w:rsidRPr="006F7FC7">
        <w:rPr>
          <w:snapToGrid/>
        </w:rPr>
        <w:t>The affidavit of the professional engineer is attached to the Stipulation as Attachment C.</w:t>
      </w:r>
    </w:p>
    <w:p w:rsidR="006F7FC7" w:rsidRPr="006F7FC7" w:rsidRDefault="006F7FC7" w:rsidP="0086755D">
      <w:pPr>
        <w:pStyle w:val="FOFNumbered"/>
        <w:rPr>
          <w:snapToGrid/>
        </w:rPr>
      </w:pPr>
      <w:r w:rsidRPr="006F7FC7">
        <w:rPr>
          <w:snapToGrid/>
        </w:rPr>
        <w:t xml:space="preserve">The Signatories </w:t>
      </w:r>
      <w:r w:rsidR="0086755D">
        <w:rPr>
          <w:snapToGrid/>
        </w:rPr>
        <w:t>agreed</w:t>
      </w:r>
      <w:r w:rsidRPr="006F7FC7">
        <w:rPr>
          <w:snapToGrid/>
        </w:rPr>
        <w:t xml:space="preserve"> that, unless Greenwood has previously received and filed with the Commission written confirmation from the TCEQ that the comprehensive compliance investigation issues have been completely resolved, within 45 days of the date of this Order</w:t>
      </w:r>
      <w:r w:rsidR="00C55EB5">
        <w:rPr>
          <w:snapToGrid/>
        </w:rPr>
        <w:t>,</w:t>
      </w:r>
      <w:r w:rsidRPr="006F7FC7">
        <w:rPr>
          <w:snapToGrid/>
        </w:rPr>
        <w:t xml:space="preserve"> Permian agrees to post a letter of credit with the Commission in the amount of $20,000.00 as financial assurance to ensure the remediation of the issues arising from the TCEQ</w:t>
      </w:r>
      <w:r w:rsidR="00703C11">
        <w:rPr>
          <w:snapToGrid/>
        </w:rPr>
        <w:t>’</w:t>
      </w:r>
      <w:r w:rsidRPr="006F7FC7">
        <w:rPr>
          <w:snapToGrid/>
        </w:rPr>
        <w:t xml:space="preserve">s comprehensive compliance investigation relating to New Wells A and B. </w:t>
      </w:r>
      <w:r w:rsidR="0086755D">
        <w:rPr>
          <w:snapToGrid/>
        </w:rPr>
        <w:t xml:space="preserve"> </w:t>
      </w:r>
    </w:p>
    <w:p w:rsidR="006F7FC7" w:rsidRPr="006F7FC7" w:rsidRDefault="006F7FC7" w:rsidP="0086755D">
      <w:pPr>
        <w:pStyle w:val="FOFNumbered"/>
        <w:rPr>
          <w:snapToGrid/>
        </w:rPr>
      </w:pPr>
      <w:r w:rsidRPr="006F7FC7">
        <w:rPr>
          <w:snapToGrid/>
        </w:rPr>
        <w:t xml:space="preserve">The Signatories </w:t>
      </w:r>
      <w:r w:rsidR="0086755D">
        <w:rPr>
          <w:snapToGrid/>
        </w:rPr>
        <w:t>agreed</w:t>
      </w:r>
      <w:r w:rsidRPr="006F7FC7">
        <w:rPr>
          <w:snapToGrid/>
        </w:rPr>
        <w:t xml:space="preserve"> that within a reasonable period of time after Greenwood or Permian receives notice or instructions from the TCEQ that additional construction is needed to resolve the comprehensive compliance investigation issues, Permian agrees to post an additional letter of credit with the Commission in the amount of any anticipated construction costs. </w:t>
      </w:r>
      <w:r w:rsidR="0086755D">
        <w:rPr>
          <w:snapToGrid/>
        </w:rPr>
        <w:t xml:space="preserve"> </w:t>
      </w:r>
      <w:r w:rsidRPr="006F7FC7">
        <w:rPr>
          <w:snapToGrid/>
        </w:rPr>
        <w:t>Permian agrees that failure to timely provide the required financial assurance for construction costs will subject Permian to administrative fines or other penalties.</w:t>
      </w:r>
    </w:p>
    <w:p w:rsidR="006F7FC7" w:rsidRPr="006F7FC7" w:rsidRDefault="006F7FC7" w:rsidP="00481A94">
      <w:pPr>
        <w:pStyle w:val="FOFNumbered"/>
        <w:rPr>
          <w:snapToGrid/>
        </w:rPr>
      </w:pPr>
      <w:r w:rsidRPr="006F7FC7">
        <w:rPr>
          <w:snapToGrid/>
        </w:rPr>
        <w:lastRenderedPageBreak/>
        <w:t xml:space="preserve">The Signatories </w:t>
      </w:r>
      <w:r w:rsidR="00481A94">
        <w:rPr>
          <w:snapToGrid/>
        </w:rPr>
        <w:t>agreed</w:t>
      </w:r>
      <w:r w:rsidRPr="006F7FC7">
        <w:rPr>
          <w:snapToGrid/>
        </w:rPr>
        <w:t xml:space="preserve"> that any letter of credit would be in the form attached to the Stipulation as Attachment A.</w:t>
      </w:r>
    </w:p>
    <w:p w:rsidR="006F7FC7" w:rsidRPr="006F7FC7" w:rsidRDefault="006F7FC7" w:rsidP="00481A94">
      <w:pPr>
        <w:pStyle w:val="FOFNumbered"/>
        <w:rPr>
          <w:snapToGrid/>
        </w:rPr>
      </w:pPr>
      <w:r w:rsidRPr="006F7FC7">
        <w:rPr>
          <w:snapToGrid/>
        </w:rPr>
        <w:t xml:space="preserve">The Signatories </w:t>
      </w:r>
      <w:r w:rsidR="00481A94">
        <w:rPr>
          <w:snapToGrid/>
        </w:rPr>
        <w:t>agreed</w:t>
      </w:r>
      <w:r w:rsidRPr="006F7FC7">
        <w:rPr>
          <w:snapToGrid/>
        </w:rPr>
        <w:t xml:space="preserve"> that any letter of credit remains in effect until the Commission authorizes the release of the letter of credit. </w:t>
      </w:r>
      <w:r w:rsidR="00481A94">
        <w:rPr>
          <w:snapToGrid/>
        </w:rPr>
        <w:t xml:space="preserve"> </w:t>
      </w:r>
      <w:r w:rsidRPr="006F7FC7">
        <w:rPr>
          <w:snapToGrid/>
        </w:rPr>
        <w:t xml:space="preserve">The Signatories </w:t>
      </w:r>
      <w:r w:rsidR="00481A94">
        <w:rPr>
          <w:snapToGrid/>
        </w:rPr>
        <w:t>agreed</w:t>
      </w:r>
      <w:r w:rsidRPr="006F7FC7">
        <w:rPr>
          <w:snapToGrid/>
        </w:rPr>
        <w:t xml:space="preserve"> that the decision regarding release of the letter of credit may be delegated by the Commission to the Commission</w:t>
      </w:r>
      <w:r w:rsidR="00481A94">
        <w:rPr>
          <w:snapToGrid/>
        </w:rPr>
        <w:t>’</w:t>
      </w:r>
      <w:r w:rsidRPr="006F7FC7">
        <w:rPr>
          <w:snapToGrid/>
        </w:rPr>
        <w:t>s Executive Director.</w:t>
      </w:r>
    </w:p>
    <w:p w:rsidR="0018592F" w:rsidRDefault="006F7FC7" w:rsidP="00481A94">
      <w:pPr>
        <w:pStyle w:val="FOFNumbered"/>
        <w:rPr>
          <w:snapToGrid/>
        </w:rPr>
      </w:pPr>
      <w:r w:rsidRPr="006F7FC7">
        <w:rPr>
          <w:snapToGrid/>
        </w:rPr>
        <w:t xml:space="preserve">The </w:t>
      </w:r>
      <w:r w:rsidR="00481A94">
        <w:rPr>
          <w:snapToGrid/>
        </w:rPr>
        <w:t>Signatories agreed</w:t>
      </w:r>
      <w:r w:rsidRPr="006F7FC7">
        <w:rPr>
          <w:snapToGrid/>
        </w:rPr>
        <w:t xml:space="preserve"> that after the stock transfer is complete Greenwood will continue to maintain</w:t>
      </w:r>
      <w:r w:rsidR="00481A94">
        <w:rPr>
          <w:snapToGrid/>
        </w:rPr>
        <w:t xml:space="preserve"> </w:t>
      </w:r>
      <w:r w:rsidRPr="006F7FC7">
        <w:rPr>
          <w:snapToGrid/>
        </w:rPr>
        <w:t>its existing office within the certificated area of CCN No. 11792</w:t>
      </w:r>
      <w:r w:rsidR="0018592F">
        <w:rPr>
          <w:snapToGrid/>
        </w:rPr>
        <w:t xml:space="preserve">.  </w:t>
      </w:r>
    </w:p>
    <w:p w:rsidR="006F7FC7" w:rsidRPr="006F7FC7" w:rsidRDefault="0018592F" w:rsidP="00481A94">
      <w:pPr>
        <w:pStyle w:val="FOFNumbered"/>
        <w:rPr>
          <w:snapToGrid/>
        </w:rPr>
      </w:pPr>
      <w:r>
        <w:rPr>
          <w:snapToGrid/>
        </w:rPr>
        <w:t>T</w:t>
      </w:r>
      <w:r w:rsidR="00EB2040">
        <w:rPr>
          <w:snapToGrid/>
        </w:rPr>
        <w:t>he CCN will remain in the name of Greenwood Water Corporation until the appropriate application for CCN transfer is approved.</w:t>
      </w:r>
    </w:p>
    <w:p w:rsidR="006F7FC7" w:rsidRPr="006F7FC7" w:rsidRDefault="00385E08" w:rsidP="008A0763">
      <w:pPr>
        <w:pStyle w:val="FOFNumbered"/>
        <w:rPr>
          <w:snapToGrid/>
        </w:rPr>
      </w:pPr>
      <w:r>
        <w:rPr>
          <w:snapToGrid/>
        </w:rPr>
        <w:t>In light of Greenwood’</w:t>
      </w:r>
      <w:r w:rsidR="006F7FC7" w:rsidRPr="006F7FC7">
        <w:rPr>
          <w:snapToGrid/>
        </w:rPr>
        <w:t>s request for stock transfer and supplemental documents, the Stipulation is the result of good faith negotiations between the Signatories, and these efforts, as well as the overall result of the Stipulation viewed in light of the record as a whole, support the reasonableness and benefits of the terms of the Stipulation.</w:t>
      </w:r>
    </w:p>
    <w:p w:rsidR="006F7FC7" w:rsidRPr="006F7FC7" w:rsidRDefault="006F7FC7" w:rsidP="001F7CE4">
      <w:pPr>
        <w:pStyle w:val="Heading1"/>
        <w:spacing w:before="360"/>
        <w:rPr>
          <w:snapToGrid/>
        </w:rPr>
      </w:pPr>
      <w:r w:rsidRPr="006F7FC7">
        <w:rPr>
          <w:snapToGrid/>
        </w:rPr>
        <w:t>Conclusions of Law</w:t>
      </w:r>
    </w:p>
    <w:p w:rsidR="006F7FC7" w:rsidRPr="006F7FC7" w:rsidRDefault="006F7FC7" w:rsidP="00B42337">
      <w:pPr>
        <w:pStyle w:val="COLNumbered"/>
        <w:tabs>
          <w:tab w:val="left" w:pos="720"/>
        </w:tabs>
        <w:ind w:left="720" w:hanging="720"/>
        <w:rPr>
          <w:snapToGrid/>
        </w:rPr>
      </w:pPr>
      <w:r w:rsidRPr="006F7FC7">
        <w:rPr>
          <w:snapToGrid/>
        </w:rPr>
        <w:t xml:space="preserve">The Commission has jurisdiction over the subject matter of this proceeding pursuant to </w:t>
      </w:r>
      <w:r w:rsidR="00EB2040">
        <w:rPr>
          <w:snapToGrid/>
        </w:rPr>
        <w:t>Tex. Water Code</w:t>
      </w:r>
      <w:r w:rsidR="00B42337" w:rsidRPr="00887193">
        <w:rPr>
          <w:snapToGrid/>
        </w:rPr>
        <w:t xml:space="preserve"> </w:t>
      </w:r>
      <w:r w:rsidR="00EB2040">
        <w:rPr>
          <w:snapToGrid/>
        </w:rPr>
        <w:t xml:space="preserve">(TWC) </w:t>
      </w:r>
      <w:r w:rsidR="00B42337" w:rsidRPr="006F7FC7">
        <w:rPr>
          <w:snapToGrid/>
          <w:spacing w:val="-8"/>
        </w:rPr>
        <w:t xml:space="preserve">§ </w:t>
      </w:r>
      <w:r w:rsidRPr="006F7FC7">
        <w:rPr>
          <w:snapToGrid/>
        </w:rPr>
        <w:t>13.302.</w:t>
      </w:r>
    </w:p>
    <w:p w:rsidR="00B42337" w:rsidRDefault="006F7FC7" w:rsidP="00B42337">
      <w:pPr>
        <w:pStyle w:val="COLNumbered"/>
        <w:tabs>
          <w:tab w:val="left" w:pos="720"/>
        </w:tabs>
        <w:ind w:left="720" w:hanging="720"/>
        <w:rPr>
          <w:snapToGrid/>
        </w:rPr>
      </w:pPr>
      <w:r w:rsidRPr="006F7FC7">
        <w:rPr>
          <w:snapToGrid/>
        </w:rPr>
        <w:t xml:space="preserve">This docket was processed in accordance with the requirements of the </w:t>
      </w:r>
      <w:r w:rsidR="008B4AD9">
        <w:rPr>
          <w:snapToGrid/>
        </w:rPr>
        <w:t xml:space="preserve">TWC, </w:t>
      </w:r>
      <w:r w:rsidRPr="006F7FC7">
        <w:rPr>
          <w:snapToGrid/>
        </w:rPr>
        <w:t xml:space="preserve">the </w:t>
      </w:r>
      <w:r w:rsidR="00B42337" w:rsidRPr="006044A2">
        <w:t xml:space="preserve">Texas Administrative Procedure Act, </w:t>
      </w:r>
      <w:r w:rsidR="00EB2040">
        <w:t>Tex. Gov’t Code,</w:t>
      </w:r>
      <w:r w:rsidR="00B42337" w:rsidRPr="006044A2">
        <w:t xml:space="preserve"> Chapter 2001 (</w:t>
      </w:r>
      <w:r w:rsidR="00EB2040">
        <w:t>West</w:t>
      </w:r>
      <w:r w:rsidR="00B42337" w:rsidRPr="006044A2">
        <w:t xml:space="preserve"> 2008 &amp; Supp. </w:t>
      </w:r>
      <w:r w:rsidR="00B42337">
        <w:t>2014</w:t>
      </w:r>
      <w:r w:rsidR="00B42337" w:rsidRPr="006044A2">
        <w:t>)</w:t>
      </w:r>
      <w:r w:rsidR="002917B5">
        <w:t xml:space="preserve"> (APA)</w:t>
      </w:r>
      <w:r w:rsidR="00B42337" w:rsidRPr="006044A2">
        <w:t xml:space="preserve">, and </w:t>
      </w:r>
      <w:r w:rsidR="00EB2040">
        <w:t xml:space="preserve">16 TAC </w:t>
      </w:r>
      <w:r w:rsidR="00EB2040" w:rsidRPr="006F7FC7">
        <w:rPr>
          <w:snapToGrid/>
          <w:spacing w:val="-8"/>
        </w:rPr>
        <w:t>§</w:t>
      </w:r>
      <w:r w:rsidR="00EB2040">
        <w:rPr>
          <w:snapToGrid/>
          <w:spacing w:val="-8"/>
        </w:rPr>
        <w:t xml:space="preserve"> 24.111</w:t>
      </w:r>
      <w:r w:rsidR="00B42337">
        <w:rPr>
          <w:snapToGrid/>
        </w:rPr>
        <w:t>.</w:t>
      </w:r>
    </w:p>
    <w:p w:rsidR="006F7FC7" w:rsidRPr="006F7FC7" w:rsidRDefault="006F7FC7" w:rsidP="00B42337">
      <w:pPr>
        <w:pStyle w:val="COLNumbered"/>
        <w:tabs>
          <w:tab w:val="left" w:pos="720"/>
        </w:tabs>
        <w:ind w:left="720" w:hanging="720"/>
        <w:rPr>
          <w:snapToGrid/>
        </w:rPr>
      </w:pPr>
      <w:r w:rsidRPr="006F7FC7">
        <w:rPr>
          <w:snapToGrid/>
        </w:rPr>
        <w:t xml:space="preserve">Proper notice of the request for approval of stock transfer was provided in compliance with </w:t>
      </w:r>
      <w:r w:rsidR="008B4AD9">
        <w:rPr>
          <w:snapToGrid/>
        </w:rPr>
        <w:t xml:space="preserve">16 TAC </w:t>
      </w:r>
      <w:r w:rsidR="008B4AD9" w:rsidRPr="006F7FC7">
        <w:rPr>
          <w:snapToGrid/>
          <w:spacing w:val="-8"/>
        </w:rPr>
        <w:t xml:space="preserve">§ </w:t>
      </w:r>
      <w:r w:rsidRPr="006F7FC7">
        <w:rPr>
          <w:snapToGrid/>
        </w:rPr>
        <w:t>22.55.</w:t>
      </w:r>
    </w:p>
    <w:p w:rsidR="006F7FC7" w:rsidRPr="006F7FC7" w:rsidRDefault="006F7FC7" w:rsidP="002917B5">
      <w:pPr>
        <w:pStyle w:val="COLNumbered"/>
        <w:ind w:left="720" w:hanging="720"/>
        <w:rPr>
          <w:snapToGrid/>
        </w:rPr>
      </w:pPr>
      <w:r w:rsidRPr="006F7FC7">
        <w:rPr>
          <w:snapToGrid/>
        </w:rPr>
        <w:t xml:space="preserve">The Stipulation, taken as a whole, is a just and reasonable resolution of all the issues it addresses, is consistent with the relevant provisions </w:t>
      </w:r>
      <w:r w:rsidR="008B4AD9">
        <w:rPr>
          <w:snapToGrid/>
        </w:rPr>
        <w:t xml:space="preserve">of TWC </w:t>
      </w:r>
      <w:r w:rsidR="000A6DE4">
        <w:rPr>
          <w:snapToGrid/>
        </w:rPr>
        <w:t>c</w:t>
      </w:r>
      <w:r w:rsidR="002917B5">
        <w:rPr>
          <w:snapToGrid/>
        </w:rPr>
        <w:t>hapter 13 and the Commission’</w:t>
      </w:r>
      <w:r w:rsidRPr="006F7FC7">
        <w:rPr>
          <w:snapToGrid/>
        </w:rPr>
        <w:t>s rules, and is consistent with the public interest.</w:t>
      </w:r>
    </w:p>
    <w:p w:rsidR="006F7FC7" w:rsidRPr="006F7FC7" w:rsidRDefault="006F7FC7" w:rsidP="002917B5">
      <w:pPr>
        <w:pStyle w:val="COLNumbered"/>
        <w:ind w:left="720" w:hanging="720"/>
        <w:rPr>
          <w:snapToGrid/>
          <w:spacing w:val="-1"/>
        </w:rPr>
      </w:pPr>
      <w:r w:rsidRPr="006F7FC7">
        <w:rPr>
          <w:snapToGrid/>
          <w:spacing w:val="-1"/>
        </w:rPr>
        <w:t>The Stipulation resolves all issues pending in this docket.</w:t>
      </w:r>
    </w:p>
    <w:p w:rsidR="006F7FC7" w:rsidRPr="006F7FC7" w:rsidRDefault="006F7FC7" w:rsidP="002917B5">
      <w:pPr>
        <w:pStyle w:val="COLNumbered"/>
        <w:ind w:left="720" w:hanging="720"/>
        <w:rPr>
          <w:snapToGrid/>
        </w:rPr>
      </w:pPr>
      <w:r w:rsidRPr="006F7FC7">
        <w:rPr>
          <w:snapToGrid/>
        </w:rPr>
        <w:lastRenderedPageBreak/>
        <w:t>The Commission</w:t>
      </w:r>
      <w:r w:rsidR="002917B5">
        <w:rPr>
          <w:snapToGrid/>
        </w:rPr>
        <w:t>’</w:t>
      </w:r>
      <w:r w:rsidRPr="006F7FC7">
        <w:rPr>
          <w:snapToGrid/>
        </w:rPr>
        <w:t xml:space="preserve">s adoption of a final order satisfies the </w:t>
      </w:r>
      <w:r w:rsidR="002917B5">
        <w:rPr>
          <w:snapToGrid/>
        </w:rPr>
        <w:t xml:space="preserve">requirements of the APA </w:t>
      </w:r>
      <w:r w:rsidRPr="006F7FC7">
        <w:rPr>
          <w:snapToGrid/>
        </w:rPr>
        <w:t>without the necessity of a decision on contested case issues resulting from a hearing on the merits.</w:t>
      </w:r>
    </w:p>
    <w:p w:rsidR="006F7FC7" w:rsidRPr="006F7FC7" w:rsidRDefault="005026D9" w:rsidP="002917B5">
      <w:pPr>
        <w:pStyle w:val="COLNumbered"/>
        <w:ind w:left="720" w:hanging="720"/>
        <w:rPr>
          <w:snapToGrid/>
        </w:rPr>
      </w:pPr>
      <w:r>
        <w:rPr>
          <w:snapToGrid/>
        </w:rPr>
        <w:t>The requirements for informal disposition pursuant to 16 TAC § 22.35 have</w:t>
      </w:r>
      <w:r w:rsidR="006F7FC7" w:rsidRPr="006F7FC7">
        <w:rPr>
          <w:snapToGrid/>
        </w:rPr>
        <w:t xml:space="preserve"> been met in this proceeding.</w:t>
      </w:r>
    </w:p>
    <w:p w:rsidR="006F7FC7" w:rsidRPr="006F7FC7" w:rsidRDefault="002917B5" w:rsidP="00830304">
      <w:pPr>
        <w:pStyle w:val="Heading1"/>
        <w:spacing w:before="360"/>
        <w:rPr>
          <w:snapToGrid/>
        </w:rPr>
      </w:pPr>
      <w:r>
        <w:rPr>
          <w:snapToGrid/>
        </w:rPr>
        <w:t xml:space="preserve"> </w:t>
      </w:r>
      <w:r w:rsidR="006F7FC7" w:rsidRPr="006F7FC7">
        <w:rPr>
          <w:snapToGrid/>
        </w:rPr>
        <w:t>Ordering Paragraphs</w:t>
      </w:r>
    </w:p>
    <w:p w:rsidR="006F7FC7" w:rsidRPr="006F7FC7" w:rsidRDefault="006F7FC7" w:rsidP="00B720BA">
      <w:pPr>
        <w:spacing w:line="360" w:lineRule="auto"/>
        <w:ind w:left="72" w:right="72" w:firstLine="792"/>
        <w:jc w:val="both"/>
        <w:textAlignment w:val="baseline"/>
        <w:rPr>
          <w:snapToGrid/>
          <w:color w:val="000000"/>
          <w:szCs w:val="22"/>
        </w:rPr>
      </w:pPr>
      <w:r w:rsidRPr="006F7FC7">
        <w:rPr>
          <w:snapToGrid/>
          <w:color w:val="000000"/>
          <w:szCs w:val="22"/>
        </w:rPr>
        <w:t>In accordance with these findings of fact and conclusions of law, the Commission issues the following order:</w:t>
      </w:r>
    </w:p>
    <w:p w:rsidR="006F7FC7" w:rsidRDefault="00B720BA"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Consistent with the Stipulation</w:t>
      </w:r>
      <w:r w:rsidR="00BD5196">
        <w:rPr>
          <w:snapToGrid/>
        </w:rPr>
        <w:t>,</w:t>
      </w:r>
      <w:r w:rsidR="003C13CD">
        <w:rPr>
          <w:snapToGrid/>
        </w:rPr>
        <w:t xml:space="preserve"> as modified by this Order</w:t>
      </w:r>
      <w:r>
        <w:rPr>
          <w:snapToGrid/>
        </w:rPr>
        <w:t xml:space="preserve">, </w:t>
      </w:r>
      <w:r w:rsidR="005C5A38">
        <w:rPr>
          <w:snapToGrid/>
        </w:rPr>
        <w:t>Greenwood’</w:t>
      </w:r>
      <w:r w:rsidR="006F7FC7" w:rsidRPr="006F7FC7">
        <w:rPr>
          <w:snapToGrid/>
        </w:rPr>
        <w:t>s request for transfer of stock is approved.</w:t>
      </w:r>
    </w:p>
    <w:p w:rsidR="003C25C5" w:rsidRDefault="0075130F"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W</w:t>
      </w:r>
      <w:r w:rsidRPr="006F7FC7">
        <w:rPr>
          <w:snapToGrid/>
        </w:rPr>
        <w:t>ithin 45 days of the date of this Order</w:t>
      </w:r>
      <w:r>
        <w:rPr>
          <w:snapToGrid/>
        </w:rPr>
        <w:t>,</w:t>
      </w:r>
      <w:r w:rsidRPr="006F7FC7">
        <w:rPr>
          <w:snapToGrid/>
        </w:rPr>
        <w:t xml:space="preserve"> Permian </w:t>
      </w:r>
      <w:r w:rsidR="00830304">
        <w:rPr>
          <w:snapToGrid/>
        </w:rPr>
        <w:t>shall</w:t>
      </w:r>
      <w:r w:rsidRPr="006F7FC7">
        <w:rPr>
          <w:snapToGrid/>
        </w:rPr>
        <w:t xml:space="preserve"> post a letter of credit with the Commission in the amount of $20,000.00 as financial assurance to ensure the remediation of the issues arising from the TCEQ</w:t>
      </w:r>
      <w:r>
        <w:rPr>
          <w:snapToGrid/>
        </w:rPr>
        <w:t>’</w:t>
      </w:r>
      <w:r w:rsidRPr="006F7FC7">
        <w:rPr>
          <w:snapToGrid/>
        </w:rPr>
        <w:t>s comprehensive compliance investigation relating to New Wells A and B</w:t>
      </w:r>
      <w:r>
        <w:rPr>
          <w:snapToGrid/>
        </w:rPr>
        <w:t>, unless</w:t>
      </w:r>
      <w:r w:rsidR="003C25C5" w:rsidRPr="006F7FC7">
        <w:rPr>
          <w:snapToGrid/>
        </w:rPr>
        <w:t xml:space="preserve"> Greenwood has previously received and filed with the Commission written confirmation from the TCEQ that the comprehensive compliance investigation issues have been completely resolved</w:t>
      </w:r>
      <w:r w:rsidR="003C25C5">
        <w:rPr>
          <w:snapToGrid/>
        </w:rPr>
        <w:t>.</w:t>
      </w:r>
    </w:p>
    <w:p w:rsidR="003C25C5" w:rsidRPr="006F7FC7" w:rsidRDefault="0075130F"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 xml:space="preserve">Within 60 days </w:t>
      </w:r>
      <w:r w:rsidR="003C25C5" w:rsidRPr="006F7FC7">
        <w:rPr>
          <w:snapToGrid/>
        </w:rPr>
        <w:t xml:space="preserve">after Greenwood or Permian receives notice or instructions from the TCEQ that additional construction is needed to resolve the comprehensive compliance investigation issues, Permian </w:t>
      </w:r>
      <w:r w:rsidR="00830304">
        <w:rPr>
          <w:snapToGrid/>
        </w:rPr>
        <w:t>shall</w:t>
      </w:r>
      <w:r w:rsidR="003C25C5" w:rsidRPr="006F7FC7">
        <w:rPr>
          <w:snapToGrid/>
        </w:rPr>
        <w:t xml:space="preserve"> post an additional letter of credit with the Commission in the amount of any anticipated construction costs. </w:t>
      </w:r>
      <w:r w:rsidR="003C25C5">
        <w:rPr>
          <w:snapToGrid/>
        </w:rPr>
        <w:t xml:space="preserve"> </w:t>
      </w:r>
    </w:p>
    <w:p w:rsidR="00F20D00" w:rsidRDefault="00F20D00" w:rsidP="00F20D00">
      <w:pPr>
        <w:pStyle w:val="Bullet1"/>
        <w:numPr>
          <w:ilvl w:val="3"/>
          <w:numId w:val="34"/>
        </w:numPr>
        <w:tabs>
          <w:tab w:val="clear" w:pos="360"/>
          <w:tab w:val="num" w:pos="720"/>
          <w:tab w:val="left" w:pos="9360"/>
        </w:tabs>
        <w:spacing w:before="120" w:after="120" w:line="360" w:lineRule="auto"/>
        <w:ind w:left="720" w:right="0" w:hanging="720"/>
      </w:pPr>
      <w:r>
        <w:t>Permian shall immediately file a report with Commission upon Greenwood or Permian receiving written confirmation from the TCEQ that the comprehensive compliance investigation issues have been completely resolved.</w:t>
      </w:r>
    </w:p>
    <w:p w:rsidR="000A6DE4" w:rsidRDefault="00F20D00" w:rsidP="00F20D00">
      <w:pPr>
        <w:pStyle w:val="NumberedParagraph"/>
        <w:numPr>
          <w:ilvl w:val="3"/>
          <w:numId w:val="34"/>
        </w:numPr>
        <w:tabs>
          <w:tab w:val="clear" w:pos="360"/>
          <w:tab w:val="num" w:pos="720"/>
        </w:tabs>
        <w:spacing w:before="120" w:after="120" w:line="360" w:lineRule="auto"/>
        <w:ind w:left="720" w:hanging="720"/>
        <w:jc w:val="both"/>
        <w:rPr>
          <w:snapToGrid/>
        </w:rPr>
      </w:pPr>
      <w:r>
        <w:t xml:space="preserve">Permian shall maintain any letter of credit required under this order until Permian petitions the </w:t>
      </w:r>
      <w:r w:rsidRPr="006F7FC7">
        <w:rPr>
          <w:snapToGrid/>
        </w:rPr>
        <w:t>Commission</w:t>
      </w:r>
      <w:r>
        <w:rPr>
          <w:snapToGrid/>
        </w:rPr>
        <w:t>’</w:t>
      </w:r>
      <w:r w:rsidRPr="006F7FC7">
        <w:rPr>
          <w:snapToGrid/>
        </w:rPr>
        <w:t>s Executive Director</w:t>
      </w:r>
      <w:r>
        <w:t>, and receives approval from the Commission’s Executive Director to release the letter of credit.</w:t>
      </w:r>
    </w:p>
    <w:p w:rsidR="001537D5" w:rsidRDefault="001537D5">
      <w:pPr>
        <w:rPr>
          <w:snapToGrid/>
        </w:rPr>
      </w:pPr>
      <w:r>
        <w:rPr>
          <w:snapToGrid/>
        </w:rPr>
        <w:br w:type="page"/>
      </w:r>
    </w:p>
    <w:p w:rsidR="006F7FC7" w:rsidRPr="006F7FC7" w:rsidRDefault="00B720BA" w:rsidP="00B720BA">
      <w:pPr>
        <w:pStyle w:val="NumberedParagraph"/>
        <w:numPr>
          <w:ilvl w:val="3"/>
          <w:numId w:val="34"/>
        </w:numPr>
        <w:tabs>
          <w:tab w:val="clear" w:pos="360"/>
          <w:tab w:val="num" w:pos="720"/>
        </w:tabs>
        <w:spacing w:line="360" w:lineRule="auto"/>
        <w:ind w:left="720" w:hanging="720"/>
        <w:jc w:val="both"/>
        <w:rPr>
          <w:snapToGrid/>
        </w:rPr>
      </w:pPr>
      <w:r>
        <w:rPr>
          <w:snapToGrid/>
        </w:rPr>
        <w:lastRenderedPageBreak/>
        <w:t>E</w:t>
      </w:r>
      <w:r w:rsidR="006F7FC7" w:rsidRPr="006F7FC7">
        <w:rPr>
          <w:snapToGrid/>
        </w:rPr>
        <w:t>ntry of this Order consistent with the Stipulation d</w:t>
      </w:r>
      <w:r>
        <w:rPr>
          <w:snapToGrid/>
        </w:rPr>
        <w:t>oes not indicate the Commission’</w:t>
      </w:r>
      <w:r w:rsidR="006F7FC7" w:rsidRPr="006F7FC7">
        <w:rPr>
          <w:snapToGrid/>
        </w:rPr>
        <w:t>s endorsement of any principle or method</w:t>
      </w:r>
      <w:r>
        <w:rPr>
          <w:snapToGrid/>
        </w:rPr>
        <w:t>ology</w:t>
      </w:r>
      <w:r w:rsidR="006F7FC7" w:rsidRPr="006F7FC7">
        <w:rPr>
          <w:snapToGrid/>
        </w:rPr>
        <w:t xml:space="preserve"> that may underlie the Stipulation. </w:t>
      </w:r>
      <w:r>
        <w:rPr>
          <w:snapToGrid/>
        </w:rPr>
        <w:t xml:space="preserve"> </w:t>
      </w:r>
      <w:r w:rsidR="001F7CE4">
        <w:rPr>
          <w:snapToGrid/>
        </w:rPr>
        <w:t xml:space="preserve">Entry </w:t>
      </w:r>
      <w:r w:rsidR="006F7FC7" w:rsidRPr="006F7FC7">
        <w:rPr>
          <w:snapToGrid/>
        </w:rPr>
        <w:t>of this Order</w:t>
      </w:r>
      <w:r w:rsidR="001F7CE4">
        <w:rPr>
          <w:snapToGrid/>
        </w:rPr>
        <w:t xml:space="preserve"> shall not</w:t>
      </w:r>
      <w:r w:rsidR="006F7FC7" w:rsidRPr="006F7FC7">
        <w:rPr>
          <w:snapToGrid/>
        </w:rPr>
        <w:t xml:space="preserve"> be regarded as </w:t>
      </w:r>
      <w:r w:rsidR="0018592F">
        <w:rPr>
          <w:snapToGrid/>
        </w:rPr>
        <w:t xml:space="preserve">binding holding or </w:t>
      </w:r>
      <w:r w:rsidR="006F7FC7" w:rsidRPr="006F7FC7">
        <w:rPr>
          <w:snapToGrid/>
        </w:rPr>
        <w:t>precedent as to the appropriateness of any principle or methodology underlying the Stipulation.</w:t>
      </w:r>
    </w:p>
    <w:p w:rsidR="006F7FC7" w:rsidRPr="006F7FC7" w:rsidRDefault="006F7FC7" w:rsidP="00B720BA">
      <w:pPr>
        <w:pStyle w:val="NumberedParagraph"/>
        <w:numPr>
          <w:ilvl w:val="3"/>
          <w:numId w:val="34"/>
        </w:numPr>
        <w:tabs>
          <w:tab w:val="clear" w:pos="360"/>
          <w:tab w:val="num" w:pos="720"/>
        </w:tabs>
        <w:spacing w:before="120" w:line="360" w:lineRule="auto"/>
        <w:ind w:left="720" w:hanging="720"/>
        <w:jc w:val="both"/>
        <w:rPr>
          <w:snapToGrid/>
        </w:rPr>
      </w:pPr>
      <w:r w:rsidRPr="006F7FC7">
        <w:rPr>
          <w:snapToGrid/>
        </w:rPr>
        <w:t>All other motions, requests for entry of specific findings of fact, conclusions of law, and ordering paragraphs, and any other requests for general or specific relief, if not expressly granted in this Order, are denied.</w:t>
      </w:r>
    </w:p>
    <w:p w:rsidR="00967322" w:rsidRDefault="00967322" w:rsidP="00AB6228">
      <w:pPr>
        <w:keepNext/>
        <w:spacing w:before="360"/>
        <w:ind w:firstLine="720"/>
        <w:rPr>
          <w:b/>
        </w:rPr>
      </w:pPr>
      <w:r>
        <w:rPr>
          <w:b/>
        </w:rPr>
        <w:t xml:space="preserve">SIGNED AT AUSTIN, TEXAS the </w:t>
      </w:r>
      <w:r>
        <w:t xml:space="preserve">______ </w:t>
      </w:r>
      <w:r>
        <w:rPr>
          <w:b/>
        </w:rPr>
        <w:t xml:space="preserve">day of </w:t>
      </w:r>
      <w:r w:rsidR="001F7CE4">
        <w:rPr>
          <w:b/>
        </w:rPr>
        <w:t xml:space="preserve">June </w:t>
      </w:r>
      <w:r w:rsidR="00B720BA">
        <w:rPr>
          <w:b/>
        </w:rPr>
        <w:t>2015.</w:t>
      </w:r>
    </w:p>
    <w:p w:rsidR="00967322" w:rsidRDefault="00967322">
      <w:pPr>
        <w:keepNext/>
        <w:tabs>
          <w:tab w:val="left" w:pos="3600"/>
        </w:tabs>
      </w:pPr>
    </w:p>
    <w:p w:rsidR="008F66B2" w:rsidRPr="008F66B2" w:rsidRDefault="008F66B2" w:rsidP="00491ACE">
      <w:pPr>
        <w:pStyle w:val="BodyText"/>
        <w:keepNext/>
        <w:ind w:left="3780" w:firstLine="0"/>
        <w:rPr>
          <w:b/>
          <w:szCs w:val="24"/>
        </w:rPr>
      </w:pPr>
      <w:r w:rsidRPr="008F66B2">
        <w:rPr>
          <w:b/>
        </w:rPr>
        <w:t xml:space="preserve">PUBLIC UTILITY COMMISSION OF </w:t>
      </w:r>
      <w:smartTag w:uri="urn:schemas-microsoft-com:office:smarttags" w:element="place">
        <w:smartTag w:uri="urn:schemas-microsoft-com:office:smarttags" w:element="State">
          <w:r w:rsidRPr="008F66B2">
            <w:rPr>
              <w:b/>
            </w:rPr>
            <w:t>TEXAS</w:t>
          </w:r>
        </w:smartTag>
      </w:smartTag>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8592F" w:rsidRDefault="00FD6764" w:rsidP="00491ACE">
      <w:pPr>
        <w:keepNext/>
        <w:tabs>
          <w:tab w:val="left" w:pos="3780"/>
          <w:tab w:val="left" w:pos="8370"/>
        </w:tabs>
        <w:rPr>
          <w:szCs w:val="24"/>
          <w:u w:val="single"/>
        </w:rPr>
      </w:pPr>
      <w:r>
        <w:rPr>
          <w:b/>
          <w:szCs w:val="24"/>
        </w:rPr>
        <w:tab/>
      </w:r>
      <w:r w:rsidR="008F66B2" w:rsidRPr="00423FED">
        <w:rPr>
          <w:b/>
          <w:szCs w:val="24"/>
          <w:u w:val="single"/>
        </w:rPr>
        <w:tab/>
      </w:r>
      <w:r w:rsidR="00491ACE" w:rsidRPr="0018592F">
        <w:rPr>
          <w:szCs w:val="24"/>
          <w:u w:val="single"/>
        </w:rPr>
        <w:t>______</w:t>
      </w:r>
    </w:p>
    <w:p w:rsidR="008F66B2" w:rsidRPr="00423FED" w:rsidRDefault="008F66B2" w:rsidP="00491ACE">
      <w:pPr>
        <w:keepNext/>
        <w:tabs>
          <w:tab w:val="left" w:pos="378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8592F" w:rsidRDefault="008F66B2" w:rsidP="00491ACE">
      <w:pPr>
        <w:keepNext/>
        <w:tabs>
          <w:tab w:val="left" w:pos="3780"/>
          <w:tab w:val="left" w:pos="8370"/>
        </w:tabs>
        <w:rPr>
          <w:szCs w:val="24"/>
        </w:rPr>
      </w:pPr>
      <w:r>
        <w:rPr>
          <w:b/>
          <w:szCs w:val="24"/>
        </w:rPr>
        <w:tab/>
      </w:r>
      <w:r>
        <w:rPr>
          <w:b/>
          <w:szCs w:val="24"/>
          <w:u w:val="single"/>
        </w:rPr>
        <w:tab/>
      </w:r>
      <w:r w:rsidR="00491ACE" w:rsidRPr="0018592F">
        <w:rPr>
          <w:szCs w:val="24"/>
          <w:u w:val="single"/>
        </w:rPr>
        <w:t>_______</w:t>
      </w:r>
    </w:p>
    <w:p w:rsidR="008F66B2" w:rsidRDefault="008F66B2" w:rsidP="00491ACE">
      <w:pPr>
        <w:keepNext/>
        <w:tabs>
          <w:tab w:val="left" w:pos="378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8592F" w:rsidRDefault="00F46A0E" w:rsidP="00491ACE">
      <w:pPr>
        <w:keepNext/>
        <w:tabs>
          <w:tab w:val="left" w:pos="3780"/>
          <w:tab w:val="left" w:pos="8370"/>
        </w:tabs>
        <w:rPr>
          <w:szCs w:val="24"/>
        </w:rPr>
      </w:pPr>
      <w:r>
        <w:rPr>
          <w:b/>
          <w:szCs w:val="24"/>
        </w:rPr>
        <w:tab/>
      </w:r>
      <w:r>
        <w:rPr>
          <w:b/>
          <w:szCs w:val="24"/>
          <w:u w:val="single"/>
        </w:rPr>
        <w:tab/>
      </w:r>
      <w:r w:rsidR="00491ACE" w:rsidRPr="0018592F">
        <w:rPr>
          <w:szCs w:val="24"/>
          <w:u w:val="single"/>
        </w:rPr>
        <w:t>_______</w:t>
      </w:r>
    </w:p>
    <w:p w:rsidR="00F46A0E" w:rsidRDefault="00F46A0E" w:rsidP="00491ACE">
      <w:pPr>
        <w:keepNext/>
        <w:tabs>
          <w:tab w:val="left" w:pos="378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B720BA" w:rsidRDefault="00B720BA">
      <w:pPr>
        <w:keepNext/>
        <w:rPr>
          <w:sz w:val="16"/>
        </w:rPr>
      </w:pPr>
    </w:p>
    <w:p w:rsidR="00AB6228" w:rsidRDefault="00AB6228">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92792E">
        <w:rPr>
          <w:noProof/>
          <w:sz w:val="16"/>
        </w:rPr>
        <w:t>q:\cadm\orders\final\42000\42961 fo.docx</w:t>
      </w:r>
      <w:r>
        <w:rPr>
          <w:sz w:val="16"/>
        </w:rPr>
        <w:fldChar w:fldCharType="end"/>
      </w:r>
      <w:r w:rsidR="00AD3AF7">
        <w:rPr>
          <w:sz w:val="16"/>
        </w:rPr>
        <w:t xml:space="preserve">  </w:t>
      </w:r>
    </w:p>
    <w:sectPr w:rsidR="00AD3AF7"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99C" w:rsidRDefault="00ED599C">
      <w:r>
        <w:separator/>
      </w:r>
    </w:p>
  </w:endnote>
  <w:endnote w:type="continuationSeparator" w:id="0">
    <w:p w:rsidR="00ED599C" w:rsidRDefault="00ED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99C" w:rsidRDefault="00ED599C">
      <w:r>
        <w:separator/>
      </w:r>
    </w:p>
  </w:footnote>
  <w:footnote w:type="continuationSeparator" w:id="0">
    <w:p w:rsidR="00ED599C" w:rsidRDefault="00ED5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E7D" w:rsidRDefault="00A02E7D" w:rsidP="00A02E7D">
    <w:pPr>
      <w:pStyle w:val="Header"/>
      <w:tabs>
        <w:tab w:val="clear" w:pos="4320"/>
        <w:tab w:val="clear" w:pos="8640"/>
        <w:tab w:val="center" w:pos="5040"/>
        <w:tab w:val="right" w:pos="9360"/>
      </w:tabs>
      <w:rPr>
        <w:rStyle w:val="PageNumber"/>
      </w:rPr>
    </w:pPr>
    <w:r>
      <w:t>PUC Docket No. 42961</w:t>
    </w:r>
    <w:r>
      <w:tab/>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A952C9">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952C9">
      <w:rPr>
        <w:rStyle w:val="PageNumber"/>
        <w:noProof/>
      </w:rPr>
      <w:t>6</w:t>
    </w:r>
    <w:r>
      <w:rPr>
        <w:rStyle w:val="PageNumber"/>
      </w:rPr>
      <w:fldChar w:fldCharType="end"/>
    </w:r>
  </w:p>
  <w:p w:rsidR="00A02E7D" w:rsidRDefault="00A02E7D" w:rsidP="00A02E7D">
    <w:pPr>
      <w:pStyle w:val="Header"/>
      <w:rPr>
        <w:rStyle w:val="PageNumber"/>
      </w:rPr>
    </w:pPr>
    <w:r>
      <w:rPr>
        <w:rStyle w:val="PageNumber"/>
      </w:rPr>
      <w:t xml:space="preserve">SOAH Docket No. </w:t>
    </w:r>
    <w:r>
      <w:t>473-15-0614.WS</w:t>
    </w:r>
  </w:p>
  <w:p w:rsidR="00A02E7D" w:rsidRDefault="00A02E7D" w:rsidP="00A02E7D">
    <w:pPr>
      <w:pStyle w:val="Header"/>
      <w:rPr>
        <w:rStyle w:val="PageNumber"/>
      </w:rPr>
    </w:pPr>
  </w:p>
  <w:p w:rsidR="00A02E7D" w:rsidRDefault="00A02E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1F67764"/>
    <w:multiLevelType w:val="multilevel"/>
    <w:tmpl w:val="382C47E0"/>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nsid w:val="05344E10"/>
    <w:multiLevelType w:val="singleLevel"/>
    <w:tmpl w:val="B8402814"/>
    <w:lvl w:ilvl="0">
      <w:start w:val="1"/>
      <w:numFmt w:val="bullet"/>
      <w:pStyle w:val="Bullet1"/>
      <w:lvlText w:val=""/>
      <w:lvlJc w:val="left"/>
      <w:pPr>
        <w:tabs>
          <w:tab w:val="num" w:pos="360"/>
        </w:tabs>
        <w:ind w:left="360" w:hanging="360"/>
      </w:pPr>
      <w:rPr>
        <w:rFonts w:ascii="Symbol" w:hAnsi="Symbol" w:hint="default"/>
      </w:rPr>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0DE37237"/>
    <w:multiLevelType w:val="multilevel"/>
    <w:tmpl w:val="154A0FF2"/>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BD34A3"/>
    <w:multiLevelType w:val="multilevel"/>
    <w:tmpl w:val="0C545E62"/>
    <w:lvl w:ilvl="0">
      <w:start w:val="1"/>
      <w:numFmt w:val="lowerLetter"/>
      <w:lvlText w:val="%1."/>
      <w:lvlJc w:val="left"/>
      <w:pPr>
        <w:tabs>
          <w:tab w:val="left" w:pos="1440"/>
        </w:tabs>
        <w:ind w:left="1440"/>
      </w:pPr>
      <w:rPr>
        <w:rFonts w:ascii="Times New Roman" w:hAnsi="Times New Roman" w:hint="default"/>
        <w:strike w:val="0"/>
        <w:snapToGrid/>
        <w:color w:val="000000"/>
        <w:spacing w:val="-4"/>
        <w:w w:val="100"/>
        <w:sz w:val="24"/>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8">
    <w:nsid w:val="25B30C67"/>
    <w:multiLevelType w:val="multilevel"/>
    <w:tmpl w:val="03589CEC"/>
    <w:lvl w:ilvl="0">
      <w:start w:val="20"/>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F81EA4"/>
    <w:multiLevelType w:val="multilevel"/>
    <w:tmpl w:val="4536A074"/>
    <w:lvl w:ilvl="0">
      <w:start w:val="4"/>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9A7AF5"/>
    <w:multiLevelType w:val="multilevel"/>
    <w:tmpl w:val="C8CE3400"/>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0F0614"/>
    <w:multiLevelType w:val="multilevel"/>
    <w:tmpl w:val="B9DCBBE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nsid w:val="5726046F"/>
    <w:multiLevelType w:val="multilevel"/>
    <w:tmpl w:val="9800B3C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5F20AD"/>
    <w:multiLevelType w:val="multilevel"/>
    <w:tmpl w:val="849A6842"/>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5C6F6304"/>
    <w:multiLevelType w:val="multilevel"/>
    <w:tmpl w:val="93DCCB42"/>
    <w:lvl w:ilvl="0">
      <w:start w:val="15"/>
      <w:numFmt w:val="decimal"/>
      <w:lvlText w:val="%1."/>
      <w:lvlJc w:val="left"/>
      <w:pPr>
        <w:tabs>
          <w:tab w:val="left" w:pos="648"/>
        </w:tabs>
        <w:ind w:left="720"/>
      </w:pPr>
      <w:rPr>
        <w:rFonts w:ascii="Times New Roman" w:eastAsia="Times New Roman" w:hAnsi="Times New Roman"/>
        <w:strike w:val="0"/>
        <w:color w:val="000000"/>
        <w:spacing w:val="1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502CE1"/>
    <w:multiLevelType w:val="singleLevel"/>
    <w:tmpl w:val="D8D86316"/>
    <w:lvl w:ilvl="0">
      <w:start w:val="1"/>
      <w:numFmt w:val="decimal"/>
      <w:lvlText w:val="%1."/>
      <w:lvlJc w:val="left"/>
      <w:pPr>
        <w:tabs>
          <w:tab w:val="num" w:pos="720"/>
        </w:tabs>
        <w:ind w:left="720" w:hanging="720"/>
      </w:pPr>
    </w:lvl>
  </w:abstractNum>
  <w:abstractNum w:abstractNumId="16">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6"/>
  </w:num>
  <w:num w:numId="2">
    <w:abstractNumId w:val="16"/>
  </w:num>
  <w:num w:numId="3">
    <w:abstractNumId w:val="16"/>
  </w:num>
  <w:num w:numId="4">
    <w:abstractNumId w:val="16"/>
  </w:num>
  <w:num w:numId="5">
    <w:abstractNumId w:val="0"/>
  </w:num>
  <w:num w:numId="6">
    <w:abstractNumId w:val="15"/>
  </w:num>
  <w:num w:numId="7">
    <w:abstractNumId w:val="15"/>
    <w:lvlOverride w:ilvl="0">
      <w:startOverride w:val="1"/>
    </w:lvlOverride>
  </w:num>
  <w:num w:numId="8">
    <w:abstractNumId w:val="3"/>
  </w:num>
  <w:num w:numId="9">
    <w:abstractNumId w:val="6"/>
  </w:num>
  <w:num w:numId="10">
    <w:abstractNumId w:val="16"/>
  </w:num>
  <w:num w:numId="11">
    <w:abstractNumId w:val="16"/>
  </w:num>
  <w:num w:numId="12">
    <w:abstractNumId w:val="6"/>
  </w:num>
  <w:num w:numId="13">
    <w:abstractNumId w:val="16"/>
  </w:num>
  <w:num w:numId="14">
    <w:abstractNumId w:val="6"/>
  </w:num>
  <w:num w:numId="15">
    <w:abstractNumId w:val="7"/>
  </w:num>
  <w:num w:numId="16">
    <w:abstractNumId w:val="7"/>
  </w:num>
  <w:num w:numId="17">
    <w:abstractNumId w:val="7"/>
  </w:num>
  <w:num w:numId="18">
    <w:abstractNumId w:val="7"/>
  </w:num>
  <w:num w:numId="19">
    <w:abstractNumId w:val="16"/>
  </w:num>
  <w:num w:numId="20">
    <w:abstractNumId w:val="6"/>
  </w:num>
  <w:num w:numId="21">
    <w:abstractNumId w:val="7"/>
  </w:num>
  <w:num w:numId="22">
    <w:abstractNumId w:val="7"/>
  </w:num>
  <w:num w:numId="23">
    <w:abstractNumId w:val="7"/>
  </w:num>
  <w:num w:numId="24">
    <w:abstractNumId w:val="7"/>
  </w:num>
  <w:num w:numId="25">
    <w:abstractNumId w:val="10"/>
  </w:num>
  <w:num w:numId="26">
    <w:abstractNumId w:val="9"/>
  </w:num>
  <w:num w:numId="27">
    <w:abstractNumId w:val="5"/>
  </w:num>
  <w:num w:numId="28">
    <w:abstractNumId w:val="14"/>
  </w:num>
  <w:num w:numId="29">
    <w:abstractNumId w:val="8"/>
  </w:num>
  <w:num w:numId="30">
    <w:abstractNumId w:val="12"/>
  </w:num>
  <w:num w:numId="31">
    <w:abstractNumId w:val="4"/>
  </w:num>
  <w:num w:numId="32">
    <w:abstractNumId w:val="1"/>
  </w:num>
  <w:num w:numId="33">
    <w:abstractNumId w:val="13"/>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99C"/>
    <w:rsid w:val="00040455"/>
    <w:rsid w:val="00041A87"/>
    <w:rsid w:val="000515AA"/>
    <w:rsid w:val="00072976"/>
    <w:rsid w:val="00077D4A"/>
    <w:rsid w:val="000812EE"/>
    <w:rsid w:val="000A6DE4"/>
    <w:rsid w:val="000C1AB7"/>
    <w:rsid w:val="0010502B"/>
    <w:rsid w:val="001259DA"/>
    <w:rsid w:val="001537D5"/>
    <w:rsid w:val="0018592F"/>
    <w:rsid w:val="001B638F"/>
    <w:rsid w:val="001D4019"/>
    <w:rsid w:val="001F7469"/>
    <w:rsid w:val="001F7869"/>
    <w:rsid w:val="001F7CE4"/>
    <w:rsid w:val="00200D7D"/>
    <w:rsid w:val="002868A2"/>
    <w:rsid w:val="002917B5"/>
    <w:rsid w:val="002A1501"/>
    <w:rsid w:val="002C2B5C"/>
    <w:rsid w:val="002E5B7E"/>
    <w:rsid w:val="00305FC2"/>
    <w:rsid w:val="003076FD"/>
    <w:rsid w:val="003500BB"/>
    <w:rsid w:val="0036472C"/>
    <w:rsid w:val="00376FC3"/>
    <w:rsid w:val="00385E08"/>
    <w:rsid w:val="003B45AE"/>
    <w:rsid w:val="003C13CD"/>
    <w:rsid w:val="003C25C5"/>
    <w:rsid w:val="003E1BD1"/>
    <w:rsid w:val="003E3C10"/>
    <w:rsid w:val="00412BF2"/>
    <w:rsid w:val="00415C67"/>
    <w:rsid w:val="00457A67"/>
    <w:rsid w:val="00481A94"/>
    <w:rsid w:val="00491ACE"/>
    <w:rsid w:val="004B1C7B"/>
    <w:rsid w:val="004C31B3"/>
    <w:rsid w:val="005026D9"/>
    <w:rsid w:val="00504B79"/>
    <w:rsid w:val="00580522"/>
    <w:rsid w:val="005C5A38"/>
    <w:rsid w:val="006073C3"/>
    <w:rsid w:val="006633C6"/>
    <w:rsid w:val="00680DE9"/>
    <w:rsid w:val="00691F62"/>
    <w:rsid w:val="006E2930"/>
    <w:rsid w:val="006F7FC7"/>
    <w:rsid w:val="00703C11"/>
    <w:rsid w:val="0075130F"/>
    <w:rsid w:val="007578A2"/>
    <w:rsid w:val="00772C9D"/>
    <w:rsid w:val="007C16A1"/>
    <w:rsid w:val="007C59E3"/>
    <w:rsid w:val="007E403E"/>
    <w:rsid w:val="00830304"/>
    <w:rsid w:val="008439DC"/>
    <w:rsid w:val="00852E35"/>
    <w:rsid w:val="0086755D"/>
    <w:rsid w:val="00896CE7"/>
    <w:rsid w:val="008A0763"/>
    <w:rsid w:val="008A1D27"/>
    <w:rsid w:val="008B2D04"/>
    <w:rsid w:val="008B4AD9"/>
    <w:rsid w:val="008D3357"/>
    <w:rsid w:val="008E1296"/>
    <w:rsid w:val="008F66B2"/>
    <w:rsid w:val="009060DC"/>
    <w:rsid w:val="0092792E"/>
    <w:rsid w:val="00967322"/>
    <w:rsid w:val="00977223"/>
    <w:rsid w:val="009A287F"/>
    <w:rsid w:val="009B61FA"/>
    <w:rsid w:val="00A02E7D"/>
    <w:rsid w:val="00A21F89"/>
    <w:rsid w:val="00A915E5"/>
    <w:rsid w:val="00A952C9"/>
    <w:rsid w:val="00AB6228"/>
    <w:rsid w:val="00AD3AF7"/>
    <w:rsid w:val="00B0502C"/>
    <w:rsid w:val="00B10E6E"/>
    <w:rsid w:val="00B16C4B"/>
    <w:rsid w:val="00B42337"/>
    <w:rsid w:val="00B720BA"/>
    <w:rsid w:val="00B777D8"/>
    <w:rsid w:val="00B926D3"/>
    <w:rsid w:val="00BB0B58"/>
    <w:rsid w:val="00BB22CB"/>
    <w:rsid w:val="00BD5196"/>
    <w:rsid w:val="00C1690C"/>
    <w:rsid w:val="00C31BE3"/>
    <w:rsid w:val="00C36161"/>
    <w:rsid w:val="00C36761"/>
    <w:rsid w:val="00C55EB5"/>
    <w:rsid w:val="00C74346"/>
    <w:rsid w:val="00C80240"/>
    <w:rsid w:val="00C85F69"/>
    <w:rsid w:val="00CB75FC"/>
    <w:rsid w:val="00CD656F"/>
    <w:rsid w:val="00CD78C8"/>
    <w:rsid w:val="00CE2477"/>
    <w:rsid w:val="00D0614C"/>
    <w:rsid w:val="00D0672D"/>
    <w:rsid w:val="00D10BD6"/>
    <w:rsid w:val="00D276F2"/>
    <w:rsid w:val="00DB4B7E"/>
    <w:rsid w:val="00E0317C"/>
    <w:rsid w:val="00E0440D"/>
    <w:rsid w:val="00E544B9"/>
    <w:rsid w:val="00EB2040"/>
    <w:rsid w:val="00EC0556"/>
    <w:rsid w:val="00EC5B7E"/>
    <w:rsid w:val="00ED05E3"/>
    <w:rsid w:val="00ED599C"/>
    <w:rsid w:val="00F007BD"/>
    <w:rsid w:val="00F04455"/>
    <w:rsid w:val="00F20D00"/>
    <w:rsid w:val="00F36758"/>
    <w:rsid w:val="00F46A0E"/>
    <w:rsid w:val="00F533B1"/>
    <w:rsid w:val="00F8583B"/>
    <w:rsid w:val="00F97A9F"/>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NumberedParagraph">
    <w:name w:val="Numbered Paragraph"/>
    <w:basedOn w:val="Normal"/>
    <w:rsid w:val="002917B5"/>
    <w:pPr>
      <w:numPr>
        <w:ilvl w:val="3"/>
        <w:numId w:val="32"/>
      </w:numPr>
    </w:pPr>
  </w:style>
  <w:style w:type="character" w:customStyle="1" w:styleId="HeaderChar">
    <w:name w:val="Header Char"/>
    <w:basedOn w:val="DefaultParagraphFont"/>
    <w:link w:val="Header"/>
    <w:rsid w:val="00A02E7D"/>
    <w:rPr>
      <w:b/>
      <w:snapToGrid w:val="0"/>
    </w:rPr>
  </w:style>
  <w:style w:type="paragraph" w:styleId="BalloonText">
    <w:name w:val="Balloon Text"/>
    <w:basedOn w:val="Normal"/>
    <w:link w:val="BalloonTextChar"/>
    <w:rsid w:val="00CE2477"/>
    <w:rPr>
      <w:rFonts w:ascii="Tahoma" w:hAnsi="Tahoma" w:cs="Tahoma"/>
      <w:sz w:val="16"/>
      <w:szCs w:val="16"/>
    </w:rPr>
  </w:style>
  <w:style w:type="character" w:customStyle="1" w:styleId="BalloonTextChar">
    <w:name w:val="Balloon Text Char"/>
    <w:basedOn w:val="DefaultParagraphFont"/>
    <w:link w:val="BalloonText"/>
    <w:rsid w:val="00CE2477"/>
    <w:rPr>
      <w:rFonts w:ascii="Tahoma" w:hAnsi="Tahoma" w:cs="Tahoma"/>
      <w:snapToGrid w:val="0"/>
      <w:sz w:val="16"/>
      <w:szCs w:val="16"/>
    </w:rPr>
  </w:style>
  <w:style w:type="paragraph" w:customStyle="1" w:styleId="Bullet1">
    <w:name w:val="Bullet 1"/>
    <w:basedOn w:val="BodyText"/>
    <w:rsid w:val="00F20D00"/>
    <w:pPr>
      <w:numPr>
        <w:numId w:val="35"/>
      </w:numPr>
      <w:tabs>
        <w:tab w:val="clear" w:pos="360"/>
        <w:tab w:val="num" w:pos="1080"/>
      </w:tabs>
      <w:spacing w:before="180" w:line="240" w:lineRule="auto"/>
      <w:ind w:left="1080" w:right="360"/>
    </w:pPr>
    <w:rPr>
      <w:snapToGr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NumberedParagraph">
    <w:name w:val="Numbered Paragraph"/>
    <w:basedOn w:val="Normal"/>
    <w:rsid w:val="002917B5"/>
    <w:pPr>
      <w:numPr>
        <w:ilvl w:val="3"/>
        <w:numId w:val="32"/>
      </w:numPr>
    </w:pPr>
  </w:style>
  <w:style w:type="character" w:customStyle="1" w:styleId="HeaderChar">
    <w:name w:val="Header Char"/>
    <w:basedOn w:val="DefaultParagraphFont"/>
    <w:link w:val="Header"/>
    <w:rsid w:val="00A02E7D"/>
    <w:rPr>
      <w:b/>
      <w:snapToGrid w:val="0"/>
    </w:rPr>
  </w:style>
  <w:style w:type="paragraph" w:styleId="BalloonText">
    <w:name w:val="Balloon Text"/>
    <w:basedOn w:val="Normal"/>
    <w:link w:val="BalloonTextChar"/>
    <w:rsid w:val="00CE2477"/>
    <w:rPr>
      <w:rFonts w:ascii="Tahoma" w:hAnsi="Tahoma" w:cs="Tahoma"/>
      <w:sz w:val="16"/>
      <w:szCs w:val="16"/>
    </w:rPr>
  </w:style>
  <w:style w:type="character" w:customStyle="1" w:styleId="BalloonTextChar">
    <w:name w:val="Balloon Text Char"/>
    <w:basedOn w:val="DefaultParagraphFont"/>
    <w:link w:val="BalloonText"/>
    <w:rsid w:val="00CE2477"/>
    <w:rPr>
      <w:rFonts w:ascii="Tahoma" w:hAnsi="Tahoma" w:cs="Tahoma"/>
      <w:snapToGrid w:val="0"/>
      <w:sz w:val="16"/>
      <w:szCs w:val="16"/>
    </w:rPr>
  </w:style>
  <w:style w:type="paragraph" w:customStyle="1" w:styleId="Bullet1">
    <w:name w:val="Bullet 1"/>
    <w:basedOn w:val="BodyText"/>
    <w:rsid w:val="00F20D00"/>
    <w:pPr>
      <w:numPr>
        <w:numId w:val="35"/>
      </w:numPr>
      <w:tabs>
        <w:tab w:val="clear" w:pos="360"/>
        <w:tab w:val="num" w:pos="1080"/>
      </w:tabs>
      <w:spacing w:before="180" w:line="240" w:lineRule="auto"/>
      <w:ind w:left="1080" w:right="360"/>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4E40F-2D1D-4479-AE6B-1386EBFA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1573</Words>
  <Characters>8523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2015-06-18T15:23:00Z</dcterms:created>
  <dcterms:modified xsi:type="dcterms:W3CDTF">2015-06-18T15:56:00Z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